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tbl>
      <w:tblPr/>
      <w:tblGrid>
        <w:gridCol w:w="487"/>
        <w:gridCol w:w="2468"/>
        <w:gridCol w:w="816"/>
        <w:gridCol w:w="1031"/>
        <w:gridCol w:w="1020"/>
        <w:gridCol w:w="1005"/>
        <w:gridCol w:w="1020"/>
        <w:gridCol w:w="975"/>
        <w:gridCol/>
        <w:gridCol/>
        <w:gridCol/>
      </w:tblGrid>
      <w:tr>
        <w:trPr>
          <w:trHeight w:hRule="exact" w:val="315"/>
        </w:trPr>
        <w:tc>
          <w:tcPr>
            <w:tcW w:type="dxa" w:w="8822"/>
            <w:gridSpan w:val="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24"/>
              </w:rPr>
              <w:t>СТАТИСТИЧЕСКИЕ ДАННЫЕ</w:t>
            </w:r>
          </w:p>
        </w:tc>
        <w:tc>
          <w:tcPr>
            <w:tcW w:type="dxa" w:w="0"/>
            <w:gridSpan w:val="1"/>
            <w:tcBorders>
              <w:left w:color="000000" w:val="nil"/>
            </w:tcBorders>
          </w:tcPr>
          <w:p/>
        </w:tc>
      </w:tr>
      <w:tr>
        <w:trPr>
          <w:trHeight w:hRule="exact" w:val="615"/>
        </w:trPr>
        <w:tc>
          <w:tcPr>
            <w:tcW w:type="dxa" w:w="8822"/>
            <w:gridSpan w:val="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24"/>
              </w:rPr>
              <w:t>о работе с обращениями граждан  в администрации Темрюкского городского поселения муниципального образования Темрюкский район</w:t>
            </w:r>
          </w:p>
        </w:tc>
        <w:tc>
          <w:tcPr>
            <w:tcW w:type="dxa" w:w="0"/>
            <w:gridSpan w:val="1"/>
            <w:tcBorders>
              <w:left w:color="000000" w:val="nil"/>
            </w:tcBorders>
          </w:tcPr>
          <w:p/>
        </w:tc>
      </w:tr>
      <w:tr>
        <w:trPr>
          <w:trHeight w:hRule="exact" w:val="315"/>
        </w:trPr>
        <w:tc>
          <w:tcPr>
            <w:tcW w:type="dxa" w:w="8822"/>
            <w:gridSpan w:val="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24"/>
              </w:rPr>
              <w:t>за 3 квартал 2017 года.</w:t>
            </w:r>
          </w:p>
        </w:tc>
        <w:tc>
          <w:tcPr>
            <w:tcW w:type="dxa" w:w="0"/>
            <w:gridSpan w:val="1"/>
            <w:tcBorders>
              <w:left w:color="000000" w:val="nil"/>
              <w:bottom w:color="000000" w:val="nil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2468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816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1031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1020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1005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1020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975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  <w:vAlign w:val="center"/>
          </w:tcPr>
          <w:p/>
        </w:tc>
        <w:tc>
          <w:tcPr>
            <w:tcW w:type="dxa" w:w="0"/>
            <w:gridSpan w:val="1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</w:tcPr>
          <w:p/>
        </w:tc>
        <w:tc>
          <w:tcPr>
            <w:tcW w:type="dxa" w:w="0"/>
            <w:gridSpan w:val="1"/>
            <w:tcBorders>
              <w:top w:color="000000" w:val="nil"/>
              <w:left w:color="000000" w:val="nil"/>
              <w:bottom w:color="000000" w:sz="8" w:val="single"/>
              <w:right w:color="000000" w:val="nil"/>
            </w:tcBorders>
            <w:shd w:fill="auto" w:val="clear"/>
          </w:tcPr>
          <w:p/>
        </w:tc>
        <w:tc>
          <w:tcPr>
            <w:tcW w:type="dxa" w:w="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auto" w:val="clear"/>
          </w:tcPr>
          <w:p/>
        </w:tc>
      </w:tr>
      <w:tr>
        <w:trPr>
          <w:trHeight w:hRule="exact" w:val="300"/>
        </w:trPr>
        <w:tc>
          <w:tcPr>
            <w:tcW w:type="dxa" w:w="4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>
            <w:r>
              <w:rPr>
                <w:rFonts w:ascii="Georgia" w:hAnsi="Georgia"/>
                <w:b w:val="1"/>
                <w:color w:themeColor="dark1" w:val="000000"/>
                <w:sz w:val="14"/>
              </w:rPr>
              <w:t>№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1 квартал</w:t>
            </w:r>
          </w:p>
        </w:tc>
        <w:tc>
          <w:tcPr>
            <w:tcW w:type="dxa" w:w="10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2 квартал</w:t>
            </w:r>
          </w:p>
        </w:tc>
        <w:tc>
          <w:tcPr>
            <w:tcW w:type="dxa" w:w="100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1 полугодие</w:t>
            </w:r>
          </w:p>
        </w:tc>
        <w:tc>
          <w:tcPr>
            <w:tcW w:type="dxa" w:w="10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3 квартал</w:t>
            </w:r>
          </w:p>
        </w:tc>
        <w:tc>
          <w:tcPr>
            <w:tcW w:type="dxa" w:w="97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9 месяцев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4 квартал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val="000000"/>
                <w:sz w:val="14"/>
              </w:rPr>
              <w:t>12 месяцев</w:t>
            </w:r>
          </w:p>
        </w:tc>
        <w:tc>
          <w:tcPr>
            <w:tcW w:type="dxa" w:w="0"/>
            <w:tcBorders>
              <w:top w:color="000000" w:val="nil"/>
              <w:left w:color="000000" w:sz="1" w:val="single"/>
              <w:bottom w:color="000000" w:val="nil"/>
              <w:right w:color="000000" w:val="nil"/>
            </w:tcBorders>
            <w:shd w:fill="auto" w:val="clear"/>
          </w:tcPr>
          <w:p/>
        </w:tc>
      </w:tr>
      <w:tr>
        <w:trPr>
          <w:trHeight w:hRule="exact" w:val="60"/>
        </w:trPr>
        <w:tc>
          <w:tcPr>
            <w:tcW w:type="dxa" w:w="4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val="nil"/>
              <w:left w:color="000000" w:sz="1" w:val="single"/>
              <w:bottom w:color="000000" w:val="nil"/>
              <w:right w:color="000000" w:val="nil"/>
            </w:tcBorders>
            <w:shd w:fill="auto" w:val="clear"/>
          </w:tcPr>
          <w:p/>
        </w:tc>
      </w:tr>
      <w:tr>
        <w:trPr>
          <w:trHeight w:hRule="exact" w:val="285"/>
          <w:hidden w:val="1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center"/>
          </w:tcPr>
          <w:p/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Georgia" w:hAnsi="Georgia"/>
                <w:b w:val="1"/>
                <w:color w:themeColor="dark1" w:val="000000"/>
                <w:sz w:val="14"/>
              </w:rPr>
              <w:t>в работ за предыдущий квартал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Georgia" w:hAnsi="Georgia"/>
                <w:b w:val="1"/>
                <w:color w:val="000000"/>
                <w:sz w:val="14"/>
              </w:rPr>
              <w:t>19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Georgia" w:hAnsi="Georgia"/>
                <w:b w:val="1"/>
                <w:color w:val="000000"/>
                <w:sz w:val="14"/>
              </w:rPr>
              <w:t>29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Georgia" w:hAnsi="Georgia"/>
                <w:b w:val="1"/>
                <w:color w:val="000000"/>
                <w:sz w:val="14"/>
              </w:rPr>
              <w:t>41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Georgia" w:hAnsi="Georgia"/>
                <w:b w:val="1"/>
                <w:color w:val="000000"/>
                <w:sz w:val="14"/>
              </w:rPr>
              <w:t>25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Georgia" w:hAnsi="Georgia"/>
                <w:b w:val="1"/>
                <w:color w:val="000000"/>
                <w:sz w:val="14"/>
              </w:rPr>
              <w:t>0</w:t>
            </w:r>
          </w:p>
        </w:tc>
        <w:tc>
          <w:tcPr>
            <w:tcW w:type="dxa" w:w="0"/>
            <w:tcBorders>
              <w:top w:color="000000" w:val="nil"/>
              <w:left w:color="000000" w:sz="1" w:val="single"/>
              <w:bottom w:color="000000" w:val="nil"/>
              <w:right w:color="000000" w:val="nil"/>
            </w:tcBorders>
            <w:shd w:fill="auto" w:val="clear"/>
          </w:tcPr>
          <w:p/>
        </w:tc>
      </w:tr>
      <w:tr>
        <w:trPr>
          <w:trHeight w:hRule="exact" w:val="43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1.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 xml:space="preserve">Поступило письменных обращений 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144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166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310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257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567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567</w:t>
            </w:r>
          </w:p>
        </w:tc>
        <w:tc>
          <w:tcPr>
            <w:tcW w:type="dxa" w:w="0"/>
            <w:tcBorders>
              <w:top w:color="000000" w:val="nil"/>
              <w:left w:color="000000" w:sz="1" w:val="single"/>
              <w:bottom w:color="000000" w:val="nil"/>
              <w:right w:color="000000" w:val="nil"/>
            </w:tcBorders>
            <w:shd w:fill="auto" w:val="clear"/>
          </w:tcPr>
          <w:p/>
        </w:tc>
      </w:tr>
      <w:tr>
        <w:trPr>
          <w:trHeight w:hRule="exact" w:val="300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в том числе из администрации края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125</w:t>
            </w:r>
          </w:p>
        </w:tc>
        <w:tc>
          <w:tcPr>
            <w:tcW w:type="dxa" w:w="0"/>
            <w:gridSpan w:val="1"/>
            <w:tcBorders>
              <w:top w:color="000000" w:val="nil"/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57,6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53,6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0,0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48,6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22,0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/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1,1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val="nil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Взято на контроль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228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209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437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437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tcBorders>
              <w:top w:color="000000" w:val="nil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74%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72,9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100,0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81,3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100,0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100,0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00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(в.ч. контроль администрации края)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172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297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297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77,6%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0,0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75,4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0,0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68,0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68,0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/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2.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Поступило повторно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3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5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5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0,7%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1,2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1,0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0,8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0,9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0,9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106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3.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 xml:space="preserve">Рассмотрено всего обращений:                   за прдыдущий кв. 2017г.(в работе)и   отчетный  квартал 2017г. находящихся в работе на момент отчета 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134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154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288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273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561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25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586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из них: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00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3,1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- Удовлетворено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54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105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105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15,7%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21,4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18,8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18,7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18,7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17,9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/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3,2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- Разъяснено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234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222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456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456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84,3%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78,6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81,3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81,3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81,3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77,8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00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3,3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- Отказано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020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05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1020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975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05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975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4.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В работе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41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25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25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00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val="nil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5.</w:t>
            </w:r>
          </w:p>
        </w:tc>
        <w:tc>
          <w:tcPr>
            <w:tcW w:type="dxa" w:w="246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Проверено комиссионно с выездом на место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218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209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427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1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427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%</w:t>
            </w:r>
          </w:p>
        </w:tc>
        <w:tc>
          <w:tcPr>
            <w:tcW w:type="dxa" w:w="1031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79,9%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72,1</w:t>
            </w:r>
          </w:p>
        </w:tc>
        <w:tc>
          <w:tcPr>
            <w:tcW w:type="dxa" w:w="100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75,7</w:t>
            </w:r>
          </w:p>
        </w:tc>
        <w:tc>
          <w:tcPr>
            <w:tcW w:type="dxa" w:w="102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FF0000"/>
                <w:sz w:val="16"/>
              </w:rPr>
              <w:t>76,6</w:t>
            </w:r>
          </w:p>
        </w:tc>
        <w:tc>
          <w:tcPr>
            <w:tcW w:type="dxa" w:w="975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76,1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0,0</w:t>
            </w:r>
          </w:p>
        </w:tc>
        <w:tc>
          <w:tcPr>
            <w:tcW w:type="dxa" w:w="0"/>
            <w:tcBorders>
              <w:top w:color="000000" w:sz="1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72,9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43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6.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 xml:space="preserve">Рассмотрено с нарушением установленных сроков 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(кол)%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64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7.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Сколько выявлено случаев  волокиты либо нарушений прав и законных интересов заявителей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7,1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Наказаны ли виновные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чел.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val="FF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-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43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8.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Принято граждан на личных приемах (руководством)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69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102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102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/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В том числе: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31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pPr>
              <w:ind/>
              <w:jc w:val="center"/>
            </w:pPr>
            <w:r>
              <w:rPr>
                <w:rFonts w:asciiTheme="minorAscii"/>
                <w:color w:themeColor="dark1" w:val="000000"/>
                <w:sz w:val="22"/>
              </w:rPr>
              <w:t>8,1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Главой  поселения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40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69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102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102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43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9.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Принято граждан в общественной приемной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>
          <w:trHeight w:hRule="exact" w:val="435"/>
        </w:trPr>
        <w:tc>
          <w:tcPr>
            <w:tcW w:type="dxa" w:w="4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vAlign w:val="top"/>
          </w:tcPr>
          <w:p>
            <w:r>
              <w:rPr>
                <w:rFonts w:asciiTheme="minorAscii"/>
                <w:color w:themeColor="dark1" w:val="000000"/>
                <w:sz w:val="22"/>
              </w:rPr>
              <w:t>10.</w:t>
            </w:r>
          </w:p>
        </w:tc>
        <w:tc>
          <w:tcPr>
            <w:tcW w:type="dxa" w:w="2468"/>
            <w:tcBorders>
              <w:top w:color="000000" w:sz="8" w:val="single"/>
              <w:left w:color="000000" w:sz="8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4"/>
              </w:rPr>
              <w:t>Принято звонков по телефону «Горячей  линии»</w:t>
            </w:r>
          </w:p>
        </w:tc>
        <w:tc>
          <w:tcPr>
            <w:tcW w:type="dxa" w:w="816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r>
              <w:rPr>
                <w:rFonts w:ascii="Times New Roman" w:hAnsi="Times New Roman"/>
                <w:color w:themeColor="dark1" w:val="000000"/>
                <w:sz w:val="16"/>
              </w:rPr>
              <w:t>кол.</w:t>
            </w:r>
          </w:p>
        </w:tc>
        <w:tc>
          <w:tcPr>
            <w:tcW w:type="dxa" w:w="1031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type="dxa" w:w="100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16"/>
              </w:rPr>
              <w:t>34</w:t>
            </w:r>
          </w:p>
        </w:tc>
        <w:tc>
          <w:tcPr>
            <w:tcW w:type="dxa" w:w="102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type="dxa" w:w="975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16"/>
              </w:rPr>
              <w:t>52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color w:themeColor="light1" w:val="000000"/>
                <w:sz w:val="16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1" w:val="single"/>
              <w:bottom w:color="000000" w:sz="8" w:val="single"/>
              <w:right w:color="000000" w:sz="1" w:val="single"/>
            </w:tcBorders>
            <w:shd w:fill="auto" w:val="clear"/>
            <w:noWrap w:val="0"/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/>
                <w:b w:val="1"/>
                <w:color w:themeColor="light1" w:val="000000"/>
                <w:sz w:val="16"/>
              </w:rPr>
              <w:t>52</w:t>
            </w:r>
          </w:p>
        </w:tc>
        <w:tc>
          <w:tcPr>
            <w:tcW w:type="dxa" w:w="0"/>
            <w:gridSpan w:val="1"/>
            <w:tcBorders>
              <w:left w:color="000000" w:sz="1" w:val="single"/>
            </w:tcBorders>
          </w:tcPr>
          <w:p/>
        </w:tc>
      </w:tr>
      <w:tr>
        <w:trPr/>
        <w:tc>
          <w:tcPr>
            <w:tcW w:type="dxa" w:w="487"/>
            <w:gridSpan w:val="1"/>
            <w:tcBorders>
              <w:top w:color="000000" w:sz="8" w:val="single"/>
              <w:right w:color="000000" w:val="nil"/>
            </w:tcBorders>
          </w:tcPr>
          <w:p/>
        </w:tc>
        <w:tc>
          <w:tcPr>
            <w:tcW w:type="dxa" w:w="2468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816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1031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1005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1020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975"/>
            <w:tcBorders>
              <w:top w:color="000000" w:sz="8" w:val="single"/>
              <w:left w:color="000000" w:val="nil"/>
              <w:bottom w:color="000000" w:val="nil"/>
              <w:right w:color="000000" w:val="nil"/>
            </w:tcBorders>
            <w:shd w:fill="auto" w:val="clear"/>
            <w:noWrap w:val="0"/>
            <w:vAlign w:val="center"/>
          </w:tcPr>
          <w:p/>
        </w:tc>
        <w:tc>
          <w:tcPr>
            <w:tcW w:type="dxa" w:w="0"/>
            <w:gridSpan w:val="1"/>
            <w:tcBorders>
              <w:top w:color="000000" w:sz="8" w:val="single"/>
              <w:left w:color="000000" w:val="nil"/>
            </w:tcBorders>
          </w:tcPr>
          <w:p/>
        </w:tc>
        <w:tc>
          <w:tcPr>
            <w:tcW w:type="dxa" w:w="0"/>
            <w:gridSpan w:val="1"/>
            <w:tcBorders>
              <w:top w:color="000000" w:sz="8" w:val="single"/>
            </w:tcBorders>
          </w:tcPr>
          <w:p/>
        </w:tc>
        <w:tc>
          <w:tcPr>
            <w:tcW w:type="dxa" w:w="0"/>
            <w:gridSpan w:val="1"/>
          </w:tcPr>
          <w:p/>
        </w:tc>
      </w:tr>
    </w:tbl>
    <w:p>
      <w:pPr>
        <w:pStyle w:val="Style_1"/>
      </w:pPr>
    </w:p>
    <w:sectPr>
      <w:pgSz w:h="11908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style w:default="1" w:styleId="Style_1" w:type="paragraph">
    <w:name w:val="Normal"/>
    <w:link w:val="Style_1_ch"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Heading 1"/>
    <w:link w:val="Style_2_ch"/>
    <w:pPr>
      <w:spacing w:after="120" w:before="120"/>
      <w:ind/>
    </w:pPr>
    <w:rPr>
      <w:rFonts w:ascii="XO Thames" w:hAnsi="XO Thames"/>
      <w:b w:val="1"/>
      <w:sz w:val="32"/>
    </w:rPr>
  </w:style>
  <w:style w:styleId="Style_2_ch" w:type="character">
    <w:name w:val="Heading 1"/>
    <w:link w:val="Style_2"/>
    <w:rPr>
      <w:rFonts w:ascii="XO Thames" w:hAnsi="XO Thames"/>
      <w:b w:val="1"/>
      <w:sz w:val="32"/>
    </w:rPr>
  </w:style>
  <w:style w:styleId="Style_3" w:type="paragraph">
    <w:name w:val="Heading 2"/>
    <w:link w:val="Style_3_ch"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3_ch" w:type="character">
    <w:name w:val="Heading 2"/>
    <w:link w:val="Style_3"/>
    <w:rPr>
      <w:rFonts w:ascii="XO Thames" w:hAnsi="XO Thames"/>
      <w:b w:val="1"/>
      <w:color w:val="00A0FF"/>
      <w:sz w:val="26"/>
    </w:rPr>
  </w:style>
  <w:style w:styleId="Style_4" w:type="paragraph">
    <w:name w:val="Heading 3"/>
    <w:link w:val="Style_4_ch"/>
    <w:rPr>
      <w:rFonts w:ascii="XO Thames" w:hAnsi="XO Thames"/>
      <w:b w:val="1"/>
      <w:i w:val="1"/>
      <w:color w:val="000000"/>
    </w:rPr>
  </w:style>
  <w:style w:styleId="Style_4_ch" w:type="character">
    <w:name w:val="Heading 3"/>
    <w:link w:val="Style_4"/>
    <w:rPr>
      <w:rFonts w:ascii="XO Thames" w:hAnsi="XO Thames"/>
      <w:b w:val="1"/>
      <w:i w:val="1"/>
      <w:color w:val="000000"/>
    </w:rPr>
  </w:style>
  <w:style w:styleId="Style_5" w:type="paragraph">
    <w:name w:val="Heading 4"/>
    <w:link w:val="Style_5_ch"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5_ch" w:type="character">
    <w:name w:val="Heading 4"/>
    <w:link w:val="Style_5"/>
    <w:rPr>
      <w:rFonts w:ascii="XO Thames" w:hAnsi="XO Thames"/>
      <w:b w:val="1"/>
      <w:color w:val="595959"/>
      <w:sz w:val="26"/>
    </w:rPr>
  </w:style>
  <w:style w:styleId="Style_6" w:type="paragraph">
    <w:name w:val="Heading 5"/>
    <w:link w:val="Style_6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6_ch" w:type="character">
    <w:name w:val="Heading 5"/>
    <w:link w:val="Style_6"/>
    <w:rPr>
      <w:rFonts w:ascii="XO Thames" w:hAnsi="XO Thames"/>
      <w:b w:val="1"/>
      <w:color w:val="000000"/>
      <w:sz w:val="22"/>
    </w:rPr>
  </w:style>
  <w:style w:styleId="Style_7" w:type="paragraph">
    <w:name w:val="Title"/>
    <w:link w:val="Style_7_ch"/>
    <w:rPr>
      <w:rFonts w:ascii="XO Thames" w:hAnsi="XO Thames"/>
      <w:b w:val="1"/>
      <w:sz w:val="52"/>
    </w:rPr>
  </w:style>
  <w:style w:styleId="Style_7_ch" w:type="character">
    <w:name w:val="Title"/>
    <w:link w:val="Style_7"/>
    <w:rPr>
      <w:rFonts w:ascii="XO Thames" w:hAnsi="XO Thames"/>
      <w:b w:val="1"/>
      <w:sz w:val="52"/>
    </w:rPr>
  </w:style>
  <w:style w:styleId="Style_8" w:type="paragraph">
    <w:name w:val="Subtitle"/>
    <w:basedOn w:val="Style_1"/>
    <w:link w:val="Style_8_ch"/>
    <w:rPr>
      <w:rFonts w:ascii="XO Thames" w:hAnsi="XO Thames"/>
      <w:i w:val="1"/>
      <w:color w:val="616161"/>
    </w:rPr>
  </w:style>
  <w:style w:styleId="Style_8_ch" w:type="character">
    <w:name w:val="Subtitle"/>
    <w:basedOn w:val="Style_1_ch"/>
    <w:link w:val="Style_8"/>
    <w:rPr>
      <w:rFonts w:ascii="XO Thames" w:hAnsi="XO Thames"/>
      <w:i w:val="1"/>
      <w:color w:val="616161"/>
    </w:rPr>
  </w:style>
  <w:style w:styleId="Style_9" w:type="paragraph">
    <w:name w:val="Header and Footer"/>
    <w:link w:val="Style_9_ch"/>
    <w:pPr>
      <w:spacing w:line="360" w:lineRule="auto"/>
      <w:ind/>
    </w:pPr>
    <w:rPr>
      <w:rFonts w:ascii="XO Thames" w:hAnsi="XO Thames"/>
      <w:sz w:val="20"/>
    </w:rPr>
  </w:style>
  <w:style w:styleId="Style_9_ch" w:type="character">
    <w:name w:val="Header and Footer"/>
    <w:link w:val="Style_9"/>
    <w:rPr>
      <w:rFonts w:ascii="XO Thames" w:hAnsi="XO Thames"/>
      <w:sz w:val="20"/>
    </w:rPr>
  </w:style>
  <w:style w:styleId="Style_10" w:type="paragraph">
    <w:name w:val="Footnote"/>
    <w:link w:val="Style_10_ch"/>
    <w:rPr>
      <w:rFonts w:ascii="XO Thames" w:hAnsi="XO Thames"/>
      <w:color w:val="757575"/>
      <w:sz w:val="20"/>
    </w:rPr>
  </w:style>
  <w:style w:styleId="Style_10_ch" w:type="character">
    <w:name w:val="Footnote"/>
    <w:link w:val="Style_10"/>
    <w:rPr>
      <w:rFonts w:ascii="XO Thames" w:hAnsi="XO Thames"/>
      <w:color w:val="757575"/>
      <w:sz w:val="20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5" Target="webSettings.xml" Type="http://schemas.openxmlformats.org/officeDocument/2006/relationships/webSettings"/>
  <Relationship Id="rId3" Target="styles.xml" Type="http://schemas.openxmlformats.org/officeDocument/2006/relationships/styles"/>
  <Relationship Id="rId1" Target="fontTable.xml" Type="http://schemas.openxmlformats.org/officeDocument/2006/relationships/fontTable"/>
  <Relationship Id="rId4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