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7C0D83" w:rsidRDefault="007C0D83" w:rsidP="009A50E1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lang w:eastAsia="ru-RU"/>
        </w:rPr>
      </w:pPr>
    </w:p>
    <w:p w:rsidR="004733C3" w:rsidRPr="00A77815" w:rsidRDefault="00880D7F" w:rsidP="000172B1">
      <w:pPr>
        <w:tabs>
          <w:tab w:val="left" w:pos="9498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 в</w:t>
      </w:r>
      <w:r w:rsidR="000172B1">
        <w:rPr>
          <w:rFonts w:ascii="Times New Roman" w:hAnsi="Times New Roman"/>
          <w:b/>
          <w:sz w:val="28"/>
          <w:szCs w:val="28"/>
          <w:lang w:eastAsia="ar-SA"/>
        </w:rPr>
        <w:t xml:space="preserve">несении изменений в постановление администрации </w:t>
      </w:r>
      <w:r w:rsidR="000172B1" w:rsidRPr="000172B1">
        <w:rPr>
          <w:rFonts w:ascii="Times New Roman" w:hAnsi="Times New Roman"/>
          <w:b/>
          <w:sz w:val="28"/>
          <w:szCs w:val="28"/>
          <w:lang w:eastAsia="ar-SA"/>
        </w:rPr>
        <w:t>Темрюкского городского поселения Темрюкского района</w:t>
      </w:r>
      <w:r w:rsidR="000172B1">
        <w:rPr>
          <w:rFonts w:ascii="Times New Roman" w:hAnsi="Times New Roman"/>
          <w:b/>
          <w:sz w:val="28"/>
          <w:szCs w:val="28"/>
          <w:lang w:eastAsia="ar-SA"/>
        </w:rPr>
        <w:t xml:space="preserve"> от 18 марта 2016 года № 324 «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531287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орядка</w:t>
      </w:r>
      <w:r w:rsidR="007C0D8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разработк</w:t>
      </w:r>
      <w:r w:rsidR="000172B1">
        <w:rPr>
          <w:rFonts w:ascii="Times New Roman" w:hAnsi="Times New Roman"/>
          <w:b/>
          <w:sz w:val="28"/>
          <w:szCs w:val="28"/>
          <w:lang w:eastAsia="ar-SA"/>
        </w:rPr>
        <w:t>и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, фо</w:t>
      </w:r>
      <w:r w:rsidR="00412E68">
        <w:rPr>
          <w:rFonts w:ascii="Times New Roman" w:hAnsi="Times New Roman"/>
          <w:b/>
          <w:sz w:val="28"/>
          <w:szCs w:val="28"/>
          <w:lang w:eastAsia="ar-SA"/>
        </w:rPr>
        <w:t>рмирования, реализации и оценки</w:t>
      </w:r>
      <w:r w:rsidR="00AF7FE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 xml:space="preserve">эффективности реализации муниципальных </w:t>
      </w:r>
      <w:r w:rsidR="00412E68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4733C3" w:rsidRPr="00381AFE">
        <w:rPr>
          <w:rFonts w:ascii="Times New Roman" w:hAnsi="Times New Roman"/>
          <w:b/>
          <w:sz w:val="28"/>
          <w:szCs w:val="28"/>
          <w:lang w:eastAsia="ar-SA"/>
        </w:rPr>
        <w:t>рограмм</w:t>
      </w:r>
      <w:r w:rsidR="007C0D8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A77815" w:rsidRPr="00A77815">
        <w:rPr>
          <w:rFonts w:ascii="Times New Roman" w:hAnsi="Times New Roman"/>
          <w:b/>
          <w:sz w:val="28"/>
          <w:szCs w:val="28"/>
        </w:rPr>
        <w:t>Темрюкского городского поселения Темрюкского района</w:t>
      </w:r>
      <w:r w:rsidR="000172B1">
        <w:rPr>
          <w:rFonts w:ascii="Times New Roman" w:hAnsi="Times New Roman"/>
          <w:b/>
          <w:sz w:val="28"/>
          <w:szCs w:val="28"/>
        </w:rPr>
        <w:t>»</w:t>
      </w:r>
    </w:p>
    <w:p w:rsidR="004733C3" w:rsidRPr="00A77815" w:rsidRDefault="004733C3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254A0" w:rsidRPr="00381AFE" w:rsidRDefault="009254A0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33C3" w:rsidRDefault="00BC7AFA" w:rsidP="004733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совершенствования порядка </w:t>
      </w:r>
      <w:r w:rsidR="007B00D1" w:rsidRPr="007B00D1">
        <w:rPr>
          <w:rFonts w:ascii="Times New Roman" w:hAnsi="Times New Roman"/>
          <w:sz w:val="28"/>
          <w:szCs w:val="28"/>
          <w:lang w:eastAsia="ru-RU"/>
        </w:rPr>
        <w:t>разработки, формирования, реализации и оценки эффективности реализации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 программ </w:t>
      </w:r>
      <w:r w:rsidRPr="00BC7AFA">
        <w:rPr>
          <w:rFonts w:ascii="Times New Roman" w:hAnsi="Times New Roman"/>
          <w:sz w:val="28"/>
          <w:szCs w:val="28"/>
          <w:lang w:eastAsia="ru-RU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согласно статей 2 и 3 Закона Краснодарского края от 4 марта 2015 года № 3123-КЗ «О </w:t>
      </w:r>
      <w:r w:rsidRPr="00BC7AFA">
        <w:rPr>
          <w:rFonts w:ascii="Times New Roman" w:hAnsi="Times New Roman"/>
          <w:sz w:val="28"/>
          <w:szCs w:val="28"/>
          <w:lang w:eastAsia="ru-RU"/>
        </w:rPr>
        <w:t xml:space="preserve">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</w:t>
      </w:r>
      <w:proofErr w:type="gramStart"/>
      <w:r w:rsidRPr="00BC7AFA">
        <w:rPr>
          <w:rFonts w:ascii="Times New Roman" w:hAnsi="Times New Roman"/>
          <w:sz w:val="28"/>
          <w:szCs w:val="28"/>
          <w:lang w:eastAsia="ru-RU"/>
        </w:rPr>
        <w:t>собственность</w:t>
      </w:r>
      <w:proofErr w:type="gramEnd"/>
      <w:r w:rsidRPr="00BC7AFA">
        <w:rPr>
          <w:rFonts w:ascii="Times New Roman" w:hAnsi="Times New Roman"/>
          <w:sz w:val="28"/>
          <w:szCs w:val="28"/>
          <w:lang w:eastAsia="ru-RU"/>
        </w:rPr>
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</w:r>
      <w:r>
        <w:rPr>
          <w:rFonts w:ascii="Times New Roman" w:hAnsi="Times New Roman"/>
          <w:sz w:val="28"/>
          <w:szCs w:val="28"/>
          <w:lang w:eastAsia="ru-RU"/>
        </w:rPr>
        <w:t>», Устава</w:t>
      </w:r>
      <w:r w:rsidRPr="00BC7AFA">
        <w:rPr>
          <w:rFonts w:ascii="Times New Roman" w:hAnsi="Times New Roman"/>
          <w:sz w:val="28"/>
          <w:szCs w:val="28"/>
          <w:lang w:eastAsia="ru-RU"/>
        </w:rPr>
        <w:t xml:space="preserve"> Темрюкского городского поселения Темрюкского района</w:t>
      </w:r>
      <w:r w:rsidR="00412E6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733C3" w:rsidRPr="00381AFE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4733C3" w:rsidRPr="00381AFE">
        <w:rPr>
          <w:rFonts w:ascii="Times New Roman" w:hAnsi="Times New Roman"/>
          <w:sz w:val="28"/>
          <w:szCs w:val="28"/>
          <w:lang w:eastAsia="ru-RU"/>
        </w:rPr>
        <w:t xml:space="preserve"> о с т а н о в л я ю:</w:t>
      </w:r>
    </w:p>
    <w:p w:rsidR="000172B1" w:rsidRDefault="00272993" w:rsidP="00DA2D1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993">
        <w:rPr>
          <w:rFonts w:ascii="Times New Roman" w:hAnsi="Times New Roman"/>
          <w:sz w:val="28"/>
          <w:szCs w:val="28"/>
          <w:lang w:eastAsia="ru-RU"/>
        </w:rPr>
        <w:t>Внести в постановление администрации Темрюкского городского поселения Темрюкского рай</w:t>
      </w:r>
      <w:r>
        <w:rPr>
          <w:rFonts w:ascii="Times New Roman" w:hAnsi="Times New Roman"/>
          <w:sz w:val="28"/>
          <w:szCs w:val="28"/>
          <w:lang w:eastAsia="ru-RU"/>
        </w:rPr>
        <w:t>она от 18 марта 2016 года № 324</w:t>
      </w:r>
      <w:r w:rsidRPr="00272993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разработки, формирования, реализации и оценки эффективности реализации муниципальных программ Темрюкского городского</w:t>
      </w:r>
      <w:r w:rsidR="004C1935">
        <w:rPr>
          <w:rFonts w:ascii="Times New Roman" w:hAnsi="Times New Roman"/>
          <w:sz w:val="28"/>
          <w:szCs w:val="28"/>
          <w:lang w:eastAsia="ru-RU"/>
        </w:rPr>
        <w:t xml:space="preserve"> поселения Темрюкского района» </w:t>
      </w:r>
      <w:r w:rsidRPr="00272993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4C1935">
        <w:rPr>
          <w:rFonts w:ascii="Times New Roman" w:hAnsi="Times New Roman"/>
          <w:sz w:val="28"/>
          <w:szCs w:val="28"/>
          <w:lang w:eastAsia="ru-RU"/>
        </w:rPr>
        <w:t xml:space="preserve">, изложив </w:t>
      </w:r>
      <w:r w:rsidR="00DA2D1D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DA2D1D" w:rsidRPr="00DA2D1D">
        <w:rPr>
          <w:rFonts w:ascii="Times New Roman" w:hAnsi="Times New Roman"/>
          <w:sz w:val="28"/>
          <w:szCs w:val="28"/>
          <w:lang w:eastAsia="ru-RU"/>
        </w:rPr>
        <w:t>2.2.2.</w:t>
      </w:r>
      <w:r w:rsidR="00DA2D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CA9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4C0CA9" w:rsidRPr="004C0CA9">
        <w:rPr>
          <w:rFonts w:ascii="Times New Roman" w:hAnsi="Times New Roman"/>
          <w:sz w:val="28"/>
          <w:szCs w:val="28"/>
          <w:lang w:eastAsia="ru-RU"/>
        </w:rPr>
        <w:t xml:space="preserve">разработки, формирования, реализации и оценки </w:t>
      </w:r>
      <w:proofErr w:type="gramStart"/>
      <w:r w:rsidR="004C0CA9" w:rsidRPr="004C0CA9">
        <w:rPr>
          <w:rFonts w:ascii="Times New Roman" w:hAnsi="Times New Roman"/>
          <w:sz w:val="28"/>
          <w:szCs w:val="28"/>
          <w:lang w:eastAsia="ru-RU"/>
        </w:rPr>
        <w:t>эффективности реализации муниципальных программ Темрюкского городского поселения Темрюкского района</w:t>
      </w:r>
      <w:proofErr w:type="gramEnd"/>
      <w:r w:rsidR="00DA2D1D">
        <w:rPr>
          <w:rFonts w:ascii="Times New Roman" w:hAnsi="Times New Roman"/>
          <w:sz w:val="28"/>
          <w:szCs w:val="28"/>
          <w:lang w:eastAsia="ru-RU"/>
        </w:rPr>
        <w:t xml:space="preserve"> в следующей редакции: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A2D1D">
        <w:rPr>
          <w:rFonts w:ascii="Times New Roman" w:hAnsi="Times New Roman"/>
          <w:sz w:val="28"/>
          <w:szCs w:val="28"/>
          <w:lang w:eastAsia="ru-RU"/>
        </w:rPr>
        <w:t>2.2.2. Раздел «Перечень основных мероприятий муниципальной программы».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t>В разделе приводится перечень основных мероприятий муниципальной программы.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t>Перечень основных мероприятий должен содержать конкретные формулировки наименований основных мероприятий, отражать источники и объемы финансирования, непосредственные результаты их реализации.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Масштаб основного мероприятия должен обеспечивать возможность </w:t>
      </w:r>
      <w:proofErr w:type="gramStart"/>
      <w:r w:rsidRPr="00DA2D1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A2D1D">
        <w:rPr>
          <w:rFonts w:ascii="Times New Roman" w:hAnsi="Times New Roman"/>
          <w:sz w:val="28"/>
          <w:szCs w:val="28"/>
          <w:lang w:eastAsia="ru-RU"/>
        </w:rPr>
        <w:t xml:space="preserve"> выполнением муниципальной программы, но не усложнять систему контроля и отчетности. Наименования основных мероприятий не могут дублировать наименования целей и задач муниципальной программы.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t>Основное мероприятие должно быть направлено на решение конкретной задачи муниципальной программы. На решение одной задачи может быть направлено несколько основных мероприятий.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2D1D">
        <w:rPr>
          <w:rFonts w:ascii="Times New Roman" w:hAnsi="Times New Roman"/>
          <w:sz w:val="28"/>
          <w:szCs w:val="28"/>
          <w:lang w:eastAsia="ru-RU"/>
        </w:rPr>
        <w:t>Перечень основных мероприятий, реализация которых предполагает финансирование за счет средств бюджета Темрюкского городского поселения Темрюкского района, может отражать соответствующие расходные обязательства Темрюкского городского поселения Темрюкского района (далее - расходные обязательства), формироваться с учетом установленных бюджетным законодательством Российской Федерации видов расходов бюджета (форм бюджетных ассигнований) либо формироваться с учетом расходных обязательств, установленных законами и иными нормативными актами Краснодарского края, Темрюкского городского поселения</w:t>
      </w:r>
      <w:proofErr w:type="gramEnd"/>
      <w:r w:rsidRPr="00DA2D1D">
        <w:rPr>
          <w:rFonts w:ascii="Times New Roman" w:hAnsi="Times New Roman"/>
          <w:sz w:val="28"/>
          <w:szCs w:val="28"/>
          <w:lang w:eastAsia="ru-RU"/>
        </w:rPr>
        <w:t xml:space="preserve"> Темрюкского района. Основные мероприятия, реализация которых осуществляется за счет средств бюджетов бюджетной системы Российской Федерации, предусмотренных на обеспечение деятельности координатора муниципальной программы (подпрограммы), участника муниципальной программы, формируются с учетом полномочий органов государственной власти субъектов Российской Федерации, </w:t>
      </w:r>
      <w:r w:rsidR="0059671C">
        <w:rPr>
          <w:rFonts w:ascii="Times New Roman" w:hAnsi="Times New Roman"/>
          <w:sz w:val="28"/>
          <w:szCs w:val="28"/>
          <w:lang w:eastAsia="ru-RU"/>
        </w:rPr>
        <w:t xml:space="preserve">Темрюкского </w:t>
      </w:r>
      <w:r w:rsidRPr="00DA2D1D">
        <w:rPr>
          <w:rFonts w:ascii="Times New Roman" w:hAnsi="Times New Roman"/>
          <w:sz w:val="28"/>
          <w:szCs w:val="28"/>
          <w:lang w:eastAsia="ru-RU"/>
        </w:rPr>
        <w:t>городского поселения</w:t>
      </w:r>
      <w:r w:rsidR="0059671C">
        <w:rPr>
          <w:rFonts w:ascii="Times New Roman" w:hAnsi="Times New Roman"/>
          <w:sz w:val="28"/>
          <w:szCs w:val="28"/>
          <w:lang w:eastAsia="ru-RU"/>
        </w:rPr>
        <w:t xml:space="preserve"> Темрюкского района</w:t>
      </w:r>
      <w:r w:rsidRPr="00DA2D1D">
        <w:rPr>
          <w:rFonts w:ascii="Times New Roman" w:hAnsi="Times New Roman"/>
          <w:sz w:val="28"/>
          <w:szCs w:val="28"/>
          <w:lang w:eastAsia="ru-RU"/>
        </w:rPr>
        <w:t>, определенных законодательством Российской Федерации.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t xml:space="preserve">Перечень основных мероприятий муниципальной программы приводится в табличной форме в соответствии с приложением № 3 к Порядку. Объем финансирования указывается в </w:t>
      </w:r>
      <w:proofErr w:type="gramStart"/>
      <w:r w:rsidRPr="00DA2D1D">
        <w:rPr>
          <w:rFonts w:ascii="Times New Roman" w:hAnsi="Times New Roman"/>
          <w:sz w:val="28"/>
          <w:szCs w:val="28"/>
          <w:lang w:eastAsia="ru-RU"/>
        </w:rPr>
        <w:t>тысячах рублей</w:t>
      </w:r>
      <w:proofErr w:type="gramEnd"/>
      <w:r w:rsidRPr="00DA2D1D">
        <w:rPr>
          <w:rFonts w:ascii="Times New Roman" w:hAnsi="Times New Roman"/>
          <w:sz w:val="28"/>
          <w:szCs w:val="28"/>
          <w:lang w:eastAsia="ru-RU"/>
        </w:rPr>
        <w:t xml:space="preserve"> с точностью до одного знака после запятой.</w:t>
      </w:r>
    </w:p>
    <w:p w:rsidR="00DA2D1D" w:rsidRP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2D1D">
        <w:rPr>
          <w:rFonts w:ascii="Times New Roman" w:hAnsi="Times New Roman"/>
          <w:sz w:val="28"/>
          <w:szCs w:val="28"/>
          <w:lang w:eastAsia="ru-RU"/>
        </w:rPr>
        <w:t>Основные мероприятия, предусматривающие предоставление бюджетных инвестиций (субсидий) в соответствии со статьями 78.2, 79 и 80 Бюджетного кодекса Российской Федерации (далее - бюджетные инвестиции), включаются в муниципальную программу на основании решений, принятых в соответствии с правовыми актами администрации Темрюкского городского поселения Темрюкского района.</w:t>
      </w:r>
      <w:proofErr w:type="gramEnd"/>
      <w:r w:rsidRPr="00DA2D1D">
        <w:rPr>
          <w:rFonts w:ascii="Times New Roman" w:hAnsi="Times New Roman"/>
          <w:sz w:val="28"/>
          <w:szCs w:val="28"/>
          <w:lang w:eastAsia="ru-RU"/>
        </w:rPr>
        <w:t xml:space="preserve"> При этом основное мероприятие должно содержать направление предоставления бюджетных инвестиций (субсидий) в соответствии со статьями 78.2, 79 и 80 Бюджетного кодекса Российской Федерации без указания конкретного объекта капитальных вложений.</w:t>
      </w:r>
    </w:p>
    <w:p w:rsidR="00DA2D1D" w:rsidRDefault="00DA2D1D" w:rsidP="00DA2D1D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2D1D">
        <w:rPr>
          <w:rFonts w:ascii="Times New Roman" w:hAnsi="Times New Roman"/>
          <w:sz w:val="28"/>
          <w:szCs w:val="28"/>
          <w:lang w:eastAsia="ru-RU"/>
        </w:rPr>
        <w:t>Основные мероприятия муниципальной программы не могут дублировать мероприятия других муниципальных программ (подпрограмм), за исключением мероприятий, наименования которых содержат наименования программ, затрагивающие сферы реализации нескольких муниципальных программ.</w:t>
      </w:r>
    </w:p>
    <w:p w:rsidR="00123F56" w:rsidRPr="00123F56" w:rsidRDefault="00DA2D1D" w:rsidP="00123F56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Для достижения целей (решения задач) муниципальной программы в нее могут включаться мероприятия,</w:t>
      </w:r>
      <w:r w:rsidRPr="00DA2D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предусматривающие создание объектов</w:t>
      </w:r>
      <w:r w:rsidRPr="00DA2D1D">
        <w:rPr>
          <w:rFonts w:ascii="Times New Roman" w:hAnsi="Times New Roman"/>
          <w:sz w:val="28"/>
          <w:szCs w:val="28"/>
          <w:lang w:eastAsia="ru-RU"/>
        </w:rPr>
        <w:t xml:space="preserve"> капитального строительства социально-культурного и (или) коммунально-бытового назначения</w:t>
      </w:r>
      <w:r w:rsidR="00123F56"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которое осуществляется хозяйствующими субъектами и </w:t>
      </w:r>
      <w:r w:rsidR="00123F56" w:rsidRPr="00123F5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 предполагает финансирование за счет бюджетов бюджетной системы Российской Федерации (далее - объекты капитального строительства социально-культурного и (или) коммунально-бытового назначения).</w:t>
      </w:r>
      <w:proofErr w:type="gramEnd"/>
    </w:p>
    <w:p w:rsidR="00123F56" w:rsidRPr="00123F56" w:rsidRDefault="00123F56" w:rsidP="0012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Включение в перечень мероприятий муниципальной программы (подпрограммы) объектов капитального строительства социально-культурного и (или) коммунально-бытового назначения осуществляется по результатам отбора соответствующих заявок хозяйствующих субъектов и соблюдения следующих условий:</w:t>
      </w:r>
    </w:p>
    <w:p w:rsidR="00123F56" w:rsidRPr="00123F56" w:rsidRDefault="00123F56" w:rsidP="0012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приема, рассмотрения и отбора заявок хозяйствующих субъектов о включении в перечень мероприятий муниципальной программы (подпрограммы) объектов капитального строительства социально-культурного и (или) коммунально-бытового назначения (далее - заявки хозяйствующих субъектов), па основании соответствующего Порядка, утверждаемого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23F56" w:rsidRPr="00123F56" w:rsidRDefault="00123F56" w:rsidP="0012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публичного извещения хозяйствующих субъектов о приеме заявок хозяйствующих субъектов, содержащего предмет (наименование) отбора заявок хозяйствующих субъектов, основные параметры предмета отбора, сроки приема заявок хозяйствующих субъектов, контактные данные для получения дополнительной информации о предмете отбора. Извещение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размещается на официальном сайт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е органов местного самоуправления в се</w:t>
      </w:r>
      <w:r w:rsidR="0059671C">
        <w:rPr>
          <w:rFonts w:ascii="Times New Roman" w:hAnsi="Times New Roman"/>
          <w:color w:val="000000"/>
          <w:sz w:val="28"/>
          <w:szCs w:val="28"/>
          <w:lang w:eastAsia="ru-RU"/>
        </w:rPr>
        <w:t>ти «Интернет» не менее чем за 5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дней до даты </w:t>
      </w:r>
      <w:r w:rsidR="0059671C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приема заявок хозяйствующих субъектов;</w:t>
      </w:r>
    </w:p>
    <w:p w:rsidR="00123F56" w:rsidRPr="00123F56" w:rsidRDefault="00123F56" w:rsidP="0012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заключения между администрацией Темрюкского городского поселения Темрюкского района и хозяйствующим субъектом, объект капитального строительства социально-культурного и (или) коммунально-бытового назначения которого допущен к включению в муниципального программу, соглашения о реализации мероприятия муниципальной программы (подпрограммы) с созданием объекта капитального строительства социально- культурного и (или) коммунально-бытового назначения (далее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соглашение).</w:t>
      </w:r>
      <w:proofErr w:type="gramEnd"/>
    </w:p>
    <w:p w:rsidR="00123F56" w:rsidRPr="00123F56" w:rsidRDefault="00123F56" w:rsidP="00123F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Соглашение заключается с победителем отбора (единственным участником, признанным соответствующим утвержденному Порядку приема, рассмотрения и отбора заявок хозяйствующих субъектов, утвержденному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Темрюкского городского поселения Темрюкского района) в течение 5 рабочих дней со дня </w:t>
      </w:r>
      <w:bookmarkStart w:id="0" w:name="_GoBack"/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утверждения</w:t>
      </w:r>
      <w:bookmarkEnd w:id="0"/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постановлением администрации Темрюкского городского поселения Темрюкского района итогов отбора заявок хозяйствующих субъектов.</w:t>
      </w:r>
      <w:proofErr w:type="gramEnd"/>
    </w:p>
    <w:p w:rsidR="00123F56" w:rsidRPr="00123F56" w:rsidRDefault="00123F56" w:rsidP="00123F56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Соглашение разрабатывается координатором муниципальной программы</w:t>
      </w:r>
      <w:proofErr w:type="gramStart"/>
      <w:r w:rsidRPr="00123F56"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6776EE" w:rsidRPr="004C1935" w:rsidRDefault="00A4206F" w:rsidP="00A4206F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4206F">
        <w:rPr>
          <w:rFonts w:ascii="Times New Roman" w:hAnsi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 (</w:t>
      </w:r>
      <w:proofErr w:type="spellStart"/>
      <w:r w:rsidRPr="00A4206F">
        <w:rPr>
          <w:rFonts w:ascii="Times New Roman" w:hAnsi="Times New Roman"/>
          <w:sz w:val="28"/>
          <w:szCs w:val="28"/>
        </w:rPr>
        <w:t>Залевская</w:t>
      </w:r>
      <w:proofErr w:type="spellEnd"/>
      <w:r w:rsidRPr="00A4206F">
        <w:rPr>
          <w:rFonts w:ascii="Times New Roman" w:hAnsi="Times New Roman"/>
          <w:sz w:val="28"/>
          <w:szCs w:val="28"/>
        </w:rPr>
        <w:t xml:space="preserve"> А.Р.)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опубликовать (разместить) на официальном сайте </w:t>
      </w:r>
      <w:r w:rsidRPr="00A4206F">
        <w:rPr>
          <w:rFonts w:ascii="Times New Roman" w:hAnsi="Times New Roman"/>
          <w:sz w:val="28"/>
          <w:szCs w:val="28"/>
        </w:rPr>
        <w:lastRenderedPageBreak/>
        <w:t>администрации Темрюкского городского поселения Темрюкского района в информационно-телекоммуникационной сети «Интернет»</w:t>
      </w:r>
      <w:r w:rsidR="006776EE" w:rsidRPr="004C1935">
        <w:rPr>
          <w:rFonts w:ascii="Times New Roman" w:hAnsi="Times New Roman"/>
          <w:sz w:val="28"/>
          <w:szCs w:val="28"/>
        </w:rPr>
        <w:t>.</w:t>
      </w:r>
      <w:proofErr w:type="gramEnd"/>
    </w:p>
    <w:p w:rsidR="00531287" w:rsidRPr="00531287" w:rsidRDefault="004C1935" w:rsidP="0053128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1287" w:rsidRPr="005312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31287" w:rsidRPr="005312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1287" w:rsidRPr="00531287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А.В.</w:t>
      </w:r>
      <w:r w:rsidR="006776EE">
        <w:rPr>
          <w:rFonts w:ascii="Times New Roman" w:hAnsi="Times New Roman"/>
          <w:sz w:val="28"/>
          <w:szCs w:val="28"/>
        </w:rPr>
        <w:t xml:space="preserve"> </w:t>
      </w:r>
      <w:r w:rsidR="00531287" w:rsidRPr="00531287">
        <w:rPr>
          <w:rFonts w:ascii="Times New Roman" w:hAnsi="Times New Roman"/>
          <w:sz w:val="28"/>
          <w:szCs w:val="28"/>
        </w:rPr>
        <w:t>Румянцеву.</w:t>
      </w:r>
    </w:p>
    <w:p w:rsidR="00531287" w:rsidRPr="00531287" w:rsidRDefault="004C1935" w:rsidP="0053128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1287" w:rsidRPr="005312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776EE" w:rsidRPr="006776EE">
        <w:rPr>
          <w:rFonts w:ascii="Times New Roman" w:hAnsi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7F0BB2">
        <w:rPr>
          <w:rFonts w:ascii="Times New Roman" w:hAnsi="Times New Roman"/>
          <w:sz w:val="28"/>
          <w:szCs w:val="28"/>
        </w:rPr>
        <w:t>«</w:t>
      </w:r>
      <w:r w:rsidR="007F0BB2" w:rsidRPr="007F0BB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18 марта 2016 года № 324 </w:t>
      </w:r>
      <w:r w:rsidR="006776EE" w:rsidRPr="006776EE">
        <w:rPr>
          <w:rFonts w:ascii="Times New Roman" w:hAnsi="Times New Roman"/>
          <w:sz w:val="28"/>
          <w:szCs w:val="28"/>
        </w:rPr>
        <w:t xml:space="preserve">«Об утверждении Порядка принятия решения о разработке, формирования, реализации и оценки эффективности реализации муниципальных программ Темрюкского городского поселения Темрюкского района» вступает </w:t>
      </w:r>
      <w:r w:rsidR="007F0BB2">
        <w:rPr>
          <w:rFonts w:ascii="Times New Roman" w:hAnsi="Times New Roman"/>
          <w:sz w:val="28"/>
          <w:szCs w:val="28"/>
        </w:rPr>
        <w:t>в силу после его официального опубликования</w:t>
      </w:r>
      <w:r w:rsidR="00531287">
        <w:rPr>
          <w:rFonts w:ascii="Times New Roman" w:hAnsi="Times New Roman"/>
          <w:sz w:val="28"/>
          <w:szCs w:val="28"/>
        </w:rPr>
        <w:t>.</w:t>
      </w:r>
      <w:proofErr w:type="gramEnd"/>
    </w:p>
    <w:p w:rsidR="00531287" w:rsidRDefault="00531287" w:rsidP="0053128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31287" w:rsidRPr="00531287" w:rsidRDefault="00531287" w:rsidP="0053128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31287" w:rsidRPr="00531287" w:rsidRDefault="00531287" w:rsidP="0053128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31287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531287" w:rsidRPr="00531287" w:rsidRDefault="00531287" w:rsidP="0053128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31287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6776EE">
        <w:rPr>
          <w:rFonts w:ascii="Times New Roman" w:hAnsi="Times New Roman"/>
          <w:sz w:val="28"/>
          <w:szCs w:val="28"/>
        </w:rPr>
        <w:t>М.В. Ермолаев</w:t>
      </w:r>
    </w:p>
    <w:p w:rsidR="00531287" w:rsidRDefault="00531287" w:rsidP="00531287">
      <w:pPr>
        <w:jc w:val="both"/>
        <w:rPr>
          <w:sz w:val="28"/>
          <w:szCs w:val="28"/>
        </w:rPr>
      </w:pPr>
    </w:p>
    <w:sectPr w:rsidR="00531287" w:rsidSect="000C2CA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D4" w:rsidRDefault="009223D4" w:rsidP="009C37C7">
      <w:pPr>
        <w:spacing w:after="0" w:line="240" w:lineRule="auto"/>
      </w:pPr>
      <w:r>
        <w:separator/>
      </w:r>
    </w:p>
  </w:endnote>
  <w:endnote w:type="continuationSeparator" w:id="0">
    <w:p w:rsidR="009223D4" w:rsidRDefault="009223D4" w:rsidP="009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D4" w:rsidRDefault="009223D4" w:rsidP="009C37C7">
      <w:pPr>
        <w:spacing w:after="0" w:line="240" w:lineRule="auto"/>
      </w:pPr>
      <w:r>
        <w:separator/>
      </w:r>
    </w:p>
  </w:footnote>
  <w:footnote w:type="continuationSeparator" w:id="0">
    <w:p w:rsidR="009223D4" w:rsidRDefault="009223D4" w:rsidP="009C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1198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C37C7" w:rsidRPr="009C37C7" w:rsidRDefault="00924C4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9C37C7">
          <w:rPr>
            <w:rFonts w:ascii="Times New Roman" w:hAnsi="Times New Roman"/>
            <w:sz w:val="28"/>
            <w:szCs w:val="28"/>
          </w:rPr>
          <w:fldChar w:fldCharType="begin"/>
        </w:r>
        <w:r w:rsidR="009C37C7" w:rsidRPr="009C37C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C37C7">
          <w:rPr>
            <w:rFonts w:ascii="Times New Roman" w:hAnsi="Times New Roman"/>
            <w:sz w:val="28"/>
            <w:szCs w:val="28"/>
          </w:rPr>
          <w:fldChar w:fldCharType="separate"/>
        </w:r>
        <w:r w:rsidR="0059671C">
          <w:rPr>
            <w:rFonts w:ascii="Times New Roman" w:hAnsi="Times New Roman"/>
            <w:noProof/>
            <w:sz w:val="28"/>
            <w:szCs w:val="28"/>
          </w:rPr>
          <w:t>3</w:t>
        </w:r>
        <w:r w:rsidRPr="009C37C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C37C7" w:rsidRDefault="009C37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5EF"/>
    <w:multiLevelType w:val="hybridMultilevel"/>
    <w:tmpl w:val="07908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5E7B"/>
    <w:multiLevelType w:val="multilevel"/>
    <w:tmpl w:val="A3CC376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359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5D96A77"/>
    <w:multiLevelType w:val="hybridMultilevel"/>
    <w:tmpl w:val="026E870A"/>
    <w:lvl w:ilvl="0" w:tplc="97C83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FC4EA0"/>
    <w:multiLevelType w:val="hybridMultilevel"/>
    <w:tmpl w:val="8CFC4106"/>
    <w:lvl w:ilvl="0" w:tplc="CE4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3C3"/>
    <w:rsid w:val="000172B1"/>
    <w:rsid w:val="00040EB4"/>
    <w:rsid w:val="00060A3C"/>
    <w:rsid w:val="00065966"/>
    <w:rsid w:val="000C2CA7"/>
    <w:rsid w:val="000C6C9B"/>
    <w:rsid w:val="00103AB8"/>
    <w:rsid w:val="00116607"/>
    <w:rsid w:val="00123F56"/>
    <w:rsid w:val="0015452A"/>
    <w:rsid w:val="001722B8"/>
    <w:rsid w:val="00181B4F"/>
    <w:rsid w:val="001949A5"/>
    <w:rsid w:val="001B42C7"/>
    <w:rsid w:val="00233474"/>
    <w:rsid w:val="00272993"/>
    <w:rsid w:val="0028516B"/>
    <w:rsid w:val="002B2CD9"/>
    <w:rsid w:val="002B3720"/>
    <w:rsid w:val="002E738D"/>
    <w:rsid w:val="002F23E4"/>
    <w:rsid w:val="00352C87"/>
    <w:rsid w:val="003C19E4"/>
    <w:rsid w:val="003C1B2A"/>
    <w:rsid w:val="004050B9"/>
    <w:rsid w:val="0040727E"/>
    <w:rsid w:val="00412E68"/>
    <w:rsid w:val="00452207"/>
    <w:rsid w:val="004733C3"/>
    <w:rsid w:val="0047692F"/>
    <w:rsid w:val="00496FDD"/>
    <w:rsid w:val="004C0CA9"/>
    <w:rsid w:val="004C1935"/>
    <w:rsid w:val="004C4B18"/>
    <w:rsid w:val="004E12FA"/>
    <w:rsid w:val="00531287"/>
    <w:rsid w:val="00566661"/>
    <w:rsid w:val="00570567"/>
    <w:rsid w:val="0059671C"/>
    <w:rsid w:val="005E3E7C"/>
    <w:rsid w:val="006225DD"/>
    <w:rsid w:val="00631FEB"/>
    <w:rsid w:val="00642F3D"/>
    <w:rsid w:val="006776EE"/>
    <w:rsid w:val="006B548C"/>
    <w:rsid w:val="006B5ECF"/>
    <w:rsid w:val="006E1FA3"/>
    <w:rsid w:val="0070620E"/>
    <w:rsid w:val="007064D9"/>
    <w:rsid w:val="007118AC"/>
    <w:rsid w:val="00750608"/>
    <w:rsid w:val="007823AD"/>
    <w:rsid w:val="007B00D1"/>
    <w:rsid w:val="007C0D83"/>
    <w:rsid w:val="007F0BB2"/>
    <w:rsid w:val="007F6F05"/>
    <w:rsid w:val="008323A6"/>
    <w:rsid w:val="0085719F"/>
    <w:rsid w:val="00880D7F"/>
    <w:rsid w:val="00881D99"/>
    <w:rsid w:val="008B09C7"/>
    <w:rsid w:val="008B1F64"/>
    <w:rsid w:val="008D3794"/>
    <w:rsid w:val="008F7259"/>
    <w:rsid w:val="009223D4"/>
    <w:rsid w:val="00924C4D"/>
    <w:rsid w:val="009254A0"/>
    <w:rsid w:val="009A50E1"/>
    <w:rsid w:val="009A749B"/>
    <w:rsid w:val="009A7718"/>
    <w:rsid w:val="009B34FC"/>
    <w:rsid w:val="009B6768"/>
    <w:rsid w:val="009C37C7"/>
    <w:rsid w:val="009D2418"/>
    <w:rsid w:val="00A06AA8"/>
    <w:rsid w:val="00A4206F"/>
    <w:rsid w:val="00A609EE"/>
    <w:rsid w:val="00A77815"/>
    <w:rsid w:val="00AF7FE0"/>
    <w:rsid w:val="00B06037"/>
    <w:rsid w:val="00B15A39"/>
    <w:rsid w:val="00B52919"/>
    <w:rsid w:val="00B831B2"/>
    <w:rsid w:val="00BB19FA"/>
    <w:rsid w:val="00BC7AFA"/>
    <w:rsid w:val="00BD3EC5"/>
    <w:rsid w:val="00BD4A71"/>
    <w:rsid w:val="00CC3A2E"/>
    <w:rsid w:val="00CE7AED"/>
    <w:rsid w:val="00D31947"/>
    <w:rsid w:val="00D461B8"/>
    <w:rsid w:val="00D74E16"/>
    <w:rsid w:val="00DA2D1D"/>
    <w:rsid w:val="00DA7C2F"/>
    <w:rsid w:val="00DE63E0"/>
    <w:rsid w:val="00ED20C3"/>
    <w:rsid w:val="00EF2B8B"/>
    <w:rsid w:val="00F206A4"/>
    <w:rsid w:val="00F43849"/>
    <w:rsid w:val="00F537D0"/>
    <w:rsid w:val="00F75AD7"/>
    <w:rsid w:val="00FC120F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7C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7C7"/>
    <w:rPr>
      <w:rFonts w:eastAsia="Times New Roman" w:cs="Times New Roman"/>
    </w:rPr>
  </w:style>
  <w:style w:type="paragraph" w:styleId="a9">
    <w:name w:val="No Spacing"/>
    <w:uiPriority w:val="1"/>
    <w:qFormat/>
    <w:rsid w:val="002B2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C0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37C7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9C3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7C7"/>
    <w:rPr>
      <w:rFonts w:eastAsia="Times New Roman" w:cs="Times New Roman"/>
    </w:rPr>
  </w:style>
  <w:style w:type="paragraph" w:styleId="a9">
    <w:name w:val="No Spacing"/>
    <w:uiPriority w:val="1"/>
    <w:qFormat/>
    <w:rsid w:val="002B2C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 Irina Alekseevna</dc:creator>
  <cp:lastModifiedBy>Nastya</cp:lastModifiedBy>
  <cp:revision>23</cp:revision>
  <cp:lastPrinted>2022-06-30T10:48:00Z</cp:lastPrinted>
  <dcterms:created xsi:type="dcterms:W3CDTF">2015-11-02T05:54:00Z</dcterms:created>
  <dcterms:modified xsi:type="dcterms:W3CDTF">2022-07-21T08:29:00Z</dcterms:modified>
</cp:coreProperties>
</file>