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B50F30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0318300008822000133</w:t>
      </w:r>
    </w:p>
    <w:p w:rsidR="00183195" w:rsidRPr="0056601C" w:rsidRDefault="00DA0BBF" w:rsidP="00B50F30">
      <w:pPr>
        <w:jc w:val="center"/>
        <w:rPr>
          <w:color w:val="000000"/>
        </w:rPr>
      </w:pPr>
      <w:r>
        <w:t>30</w:t>
      </w:r>
      <w:bookmarkStart w:id="0" w:name="_GoBack"/>
      <w:bookmarkEnd w:id="0"/>
      <w:r w:rsidR="00B50F30">
        <w:t>.0</w:t>
      </w:r>
      <w:r w:rsidR="00561DC6">
        <w:t>3</w:t>
      </w:r>
      <w:r w:rsidR="00B50F30">
        <w:t xml:space="preserve">.2022 в </w:t>
      </w:r>
      <w:r w:rsidR="00B50F30">
        <w:rPr>
          <w:color w:val="000000"/>
          <w:sz w:val="22"/>
          <w:szCs w:val="22"/>
        </w:rPr>
        <w:t>13:04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0318300008822000133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B46DA" w:rsidRDefault="00183195" w:rsidP="000E45BC">
            <w:r w:rsidRPr="002C40F2">
              <w:t>Поставка хозяйственных товаров и инвентаря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АО «ЕЭТП»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https://etp.roseltorg.ru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B46DA" w:rsidRDefault="00183195" w:rsidP="000E45BC">
            <w:r w:rsidRPr="00B31262">
              <w:t>Уполномоченный орган</w:t>
            </w:r>
          </w:p>
          <w:p w:rsidR="00183195" w:rsidRPr="00CB46DA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11.04.2022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11.04.2022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13.04.2022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193 400.50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223235204448323520100100500020000244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193 400.50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193 400,50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193 400,50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193 400,50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193 400,50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Обоснование начальной (максимальной) цены контракта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2"/>
        <w:gridCol w:w="1943"/>
        <w:gridCol w:w="1460"/>
        <w:gridCol w:w="1744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20 не более 25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Тара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Ведро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Группа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Атмосферостойкая (1)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эмали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Пентафталевая (ПФ)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Для внутренних работ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20.30.12.130-00000002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Для наружных работ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114334.50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10 не более 20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Тара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Ведро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краски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Водоэмульсионная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Основа состава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Акриловая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20.30.11.120-00000002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Наружная окраска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45000.00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Уайт-спирит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20.30.22.220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B46DA" w:rsidRDefault="00183195" w:rsidP="000E45BC">
            <w:pPr>
              <w:rPr>
                <w:sz w:val="20"/>
                <w:szCs w:val="20"/>
              </w:rPr>
            </w:pPr>
            <w:r w:rsidRPr="00CB46DA">
              <w:rPr>
                <w:sz w:val="20"/>
                <w:szCs w:val="20"/>
              </w:rPr>
              <w:t>назначение: для разбавления кра</w:t>
            </w:r>
            <w:r w:rsidRPr="00CB46DA">
              <w:rPr>
                <w:sz w:val="20"/>
                <w:szCs w:val="20"/>
              </w:rPr>
              <w:lastRenderedPageBreak/>
              <w:t>сок, эмалей, лаков и другого лакокрасочного ассортимента на масляной, алкидной основах, шпатлевок, грунтовок, олифы.</w:t>
            </w:r>
            <w:r w:rsidRPr="00CB46DA">
              <w:rPr>
                <w:sz w:val="20"/>
                <w:szCs w:val="20"/>
              </w:rPr>
              <w:tab/>
              <w:t>соответствие фасовка, л</w:t>
            </w:r>
            <w:r w:rsidRPr="00CB46DA">
              <w:rPr>
                <w:sz w:val="20"/>
                <w:szCs w:val="20"/>
              </w:rPr>
              <w:tab/>
              <w:t>не менее 10 не более 20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B46DA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B46DA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л;дм3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34066.00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193 400,50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Запрет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B02E52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в соответствии с  пп. б, п. 3 постановление не применяется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lastRenderedPageBreak/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B02E52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B02E52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3EE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1DC6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9AD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2E52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0F30"/>
    <w:rsid w:val="00B511B6"/>
    <w:rsid w:val="00B5131E"/>
    <w:rsid w:val="00B537BF"/>
    <w:rsid w:val="00B54637"/>
    <w:rsid w:val="00B54BBC"/>
    <w:rsid w:val="00B54E65"/>
    <w:rsid w:val="00B56430"/>
    <w:rsid w:val="00B567C5"/>
    <w:rsid w:val="00B5779C"/>
    <w:rsid w:val="00B6016B"/>
    <w:rsid w:val="00B601D6"/>
    <w:rsid w:val="00B605F1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6D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0BBF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31ED"/>
  <w15:docId w15:val="{07D04392-0107-4545-A323-85CDD282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4</cp:revision>
  <dcterms:created xsi:type="dcterms:W3CDTF">2022-04-04T06:16:00Z</dcterms:created>
  <dcterms:modified xsi:type="dcterms:W3CDTF">2022-04-04T06:43:00Z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