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2019.66122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ГСМ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45F39" w:rsidRDefault="00FB5146" w:rsidP="00FB5146">
            <w:r w:rsidRPr="00B31262">
              <w:t>Электронная площадка России "РТС-тендер"</w:t>
            </w:r>
            <w:r w:rsidRPr="00945F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45F39" w:rsidRDefault="00FB5146" w:rsidP="00FB5146">
            <w:r w:rsidRPr="00B31262">
              <w:t>https://www.rts-tender.ru</w:t>
            </w:r>
            <w:r w:rsidRPr="00945F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45F39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945F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45F39" w:rsidRDefault="00FB5146" w:rsidP="00FB5146">
            <w:r w:rsidRPr="00B31262">
              <w:t>353500, КРАСНОДАРСКИЙ КРАЙ, ТЕМРЮКСКИЙ Р-Н, Г ТЕМРЮК, УЛ ЛЕНИНА, 65</w:t>
            </w:r>
            <w:r w:rsidRPr="00945F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45F39" w:rsidRDefault="00FB5146" w:rsidP="00FB5146">
            <w:r w:rsidRPr="00B31262">
              <w:t>353500, КРАСНОДАРСКИЙ КРАЙ, ТЕМРЮКСКИЙ Р-Н, Г ТЕМРЮК, УЛ ЛЕНИНА, 65</w:t>
            </w:r>
            <w:r w:rsidRPr="00945F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10.01.2020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45F39" w:rsidRDefault="00CA709B" w:rsidP="00FB5146">
            <w:r w:rsidRPr="00945F39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F15E1E" w:rsidRDefault="00CA709B" w:rsidP="00FB5146">
            <w:r w:rsidRPr="00F15E1E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13.01.2020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14.01.2020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5 166 529.20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45F39" w:rsidRDefault="00CA709B" w:rsidP="00FB5146">
            <w:r w:rsidRPr="003104C6">
              <w:t>Бюджет Темрюкского городского поселения Темрюкского района</w:t>
            </w:r>
            <w:r w:rsidRPr="00945F39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193235204448323520100101270010000000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5 166 529.20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на АЗС Поставщика, расположенных на территории Темрюкского городского поселения Темрюкского района Краснодарского края,  а так  же на всей территории Краснодарского края и Ростовской области с использованием для его получения Заказчиком пластиковых карт.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Планируемый срок (сроки отдельных этапов) поставки товаров (выполнения работ, оказания услуг): с момента заключения контракта по 30.06.2020г.; Периодичность поставки товаров (выполнения работ, оказания услуг): Ежедневно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51665.29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15E1E" w:rsidRDefault="00FB5146" w:rsidP="00FB5146">
            <w:r w:rsidRPr="00847EF6">
              <w:t>Согласно Приложению №2 "Порядок предоставления обеспечения заявок</w:t>
            </w:r>
            <w:proofErr w:type="gramStart"/>
            <w:r w:rsidRPr="00847EF6">
              <w:t>"  извещению</w:t>
            </w:r>
            <w:proofErr w:type="gramEnd"/>
            <w:r w:rsidRPr="00847EF6">
              <w:t xml:space="preserve"> о проведении электронного аукциона</w:t>
            </w:r>
            <w:r w:rsidRPr="00F15E1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258326.46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45F39" w:rsidRDefault="00FB5146" w:rsidP="00FB5146"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945F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945F39" w:rsidRDefault="00911B87" w:rsidP="00911B87"/>
    <w:p w:rsidR="00603D71" w:rsidRPr="00324540" w:rsidRDefault="00603D71" w:rsidP="00911B87">
      <w:pPr>
        <w:sectPr w:rsidR="00603D71" w:rsidRPr="00324540" w:rsidSect="0080318F">
          <w:pgSz w:w="11906" w:h="16838"/>
          <w:pgMar w:top="851" w:right="737" w:bottom="567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106"/>
        <w:gridCol w:w="1753"/>
        <w:gridCol w:w="1361"/>
        <w:gridCol w:w="1607"/>
        <w:gridCol w:w="2107"/>
        <w:gridCol w:w="1590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34 410.00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53.42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1 838 182.20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92.0000000000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34 410.00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53.42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1 838 182.20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19.20.21.345-00002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Сорт/класс топлива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E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50 700.00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54.11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2 743 377.00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19.20.21.345-00002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50 700.00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54.11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2 743 377.00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19.20.21.345-00002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топлива дизельного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Межсезонное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50 700.00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54.11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2 743 377.00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95.0000000000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98.0000000000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57.35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584 970.00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45F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584 970.00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5 166 529,20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D72907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D72907" w:rsidRDefault="00FB5146" w:rsidP="00B30CE9">
            <w:r w:rsidRPr="002A7969">
              <w:t>Установлено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>Не установлены</w:t>
            </w:r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5B53A7">
            <w:r w:rsidRPr="00A96872">
              <w:t>1</w:t>
            </w:r>
            <w:r w:rsidR="00C57573" w:rsidRPr="00945F39">
              <w:t xml:space="preserve">. </w:t>
            </w:r>
            <w:r w:rsidRPr="00A96872">
              <w:t>Документация об электронном аукционе;</w:t>
            </w:r>
          </w:p>
          <w:p w:rsidR="00FB5146" w:rsidRDefault="00FB5146" w:rsidP="005B53A7">
            <w:r w:rsidRPr="00A96872">
              <w:t>2</w:t>
            </w:r>
            <w:r w:rsidR="00C57573" w:rsidRPr="00945F39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>
            <w:r w:rsidRPr="00A96872">
              <w:t>3</w:t>
            </w:r>
            <w:r w:rsidR="00C57573" w:rsidRPr="00945F39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>
            <w:r w:rsidRPr="00A96872">
              <w:t>4</w:t>
            </w:r>
            <w:r w:rsidR="00C57573" w:rsidRPr="00945F39">
              <w:t xml:space="preserve">. </w:t>
            </w:r>
            <w:r w:rsidRPr="00A96872">
              <w:t>Обоснование начальной (максимальной) цены контракта;</w:t>
            </w:r>
          </w:p>
        </w:tc>
      </w:tr>
    </w:tbl>
    <w:p w:rsidR="00FB5146" w:rsidRPr="00945F39" w:rsidRDefault="00FB5146" w:rsidP="00F15E1E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945F39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1777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18F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5F39"/>
    <w:rsid w:val="0094783B"/>
    <w:rsid w:val="009501EB"/>
    <w:rsid w:val="00951600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0644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283D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5E1E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31FCF-E6BB-4929-9446-AE257482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1446</Words>
  <Characters>8245</Characters>
  <Application>Microsoft Office Word</Application>
  <DocSecurity>0</DocSecurity>
  <Lines>68</Lines>
  <Paragraphs>19</Paragraphs>
  <ScaleCrop>false</ScaleCrop>
  <Company>Microsoft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kuvenev</dc:creator>
  <cp:lastModifiedBy>BlackAdmin</cp:lastModifiedBy>
  <cp:revision>5</cp:revision>
  <dcterms:created xsi:type="dcterms:W3CDTF">2019-12-20T08:05:00Z</dcterms:created>
  <dcterms:modified xsi:type="dcterms:W3CDTF">2019-12-20T10:11:00Z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