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2D3507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022006" w:history="1">
        <w:r w:rsidR="002D3507" w:rsidRPr="002D3507">
          <w:rPr>
            <w:b w:val="0"/>
            <w:sz w:val="24"/>
            <w:szCs w:val="24"/>
          </w:rPr>
          <w:t>0318300008820000560</w:t>
        </w:r>
      </w:hyperlink>
    </w:p>
    <w:p w:rsidR="002D3507" w:rsidRPr="002D3507" w:rsidRDefault="002D3507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D3507">
        <w:rPr>
          <w:b w:val="0"/>
          <w:sz w:val="24"/>
          <w:szCs w:val="24"/>
        </w:rPr>
        <w:t>11.12.2020 09:28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C90D38" w:rsidP="00FB5146">
            <w:pPr>
              <w:rPr>
                <w:b/>
                <w:bCs/>
              </w:rPr>
            </w:pPr>
            <w:hyperlink r:id="rId7" w:anchor="/Auction504Fl/View/103022006" w:history="1">
              <w:r w:rsidRPr="002D3507">
                <w:rPr>
                  <w:b/>
                </w:rPr>
                <w:t>0318300008820000560</w:t>
              </w:r>
            </w:hyperlink>
            <w:bookmarkStart w:id="0" w:name="_GoBack"/>
            <w:bookmarkEnd w:id="0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горюче-смазочных материалов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D3507" w:rsidRDefault="00FB5146" w:rsidP="00FB5146">
            <w:r w:rsidRPr="00B31262">
              <w:t>Электронная площадка России "РТС-тендер"</w:t>
            </w:r>
            <w:r w:rsidRPr="002D350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D3507" w:rsidRDefault="00FB5146" w:rsidP="00FB5146">
            <w:r w:rsidRPr="00B31262">
              <w:t>https://www.rts-tender.ru</w:t>
            </w:r>
            <w:r w:rsidRPr="002D350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D350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D350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D350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D350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D350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D350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ИНН: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Контактный телефон: 8 (861-48) 4-28-65 Адрес электронной почты: osctemryuka@mail.ru Ответственное должностное лицо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21.12.2020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D3507" w:rsidRDefault="00CA709B" w:rsidP="00FB5146">
            <w:r w:rsidRPr="002D3507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D3507" w:rsidRDefault="00CA709B" w:rsidP="00FB5146">
            <w:r w:rsidRPr="002D3507">
              <w:t>Согласно Приложению 1 «Порядок подачи заявок на участие в электронном аукционе» к извещ</w:t>
            </w:r>
            <w:r w:rsidRPr="002D3507">
              <w:t>е</w:t>
            </w:r>
            <w:r w:rsidRPr="002D3507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2 314 350.00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203235204448323520100101120011920244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2 314 350.00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8"/>
        <w:gridCol w:w="1945"/>
        <w:gridCol w:w="1945"/>
        <w:gridCol w:w="1945"/>
        <w:gridCol w:w="2996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2 314 350,00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2 314 350,00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Бюджет Темрюкского городского поселения Т</w:t>
            </w:r>
            <w:r w:rsidRPr="00B165F9">
              <w:t>е</w:t>
            </w:r>
            <w:r w:rsidRPr="00B165F9">
              <w:t>мрюкского района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roofErr w:type="gramStart"/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>правки через АЗС Поставщика по пластиковым картам расположенные на территории Темрю</w:t>
            </w:r>
            <w:r w:rsidRPr="00847EF6">
              <w:t>к</w:t>
            </w:r>
            <w:r w:rsidRPr="00847EF6">
              <w:t>ского городского поселения, Темрюкского рай</w:t>
            </w:r>
            <w:r w:rsidRPr="00847EF6">
              <w:t>о</w:t>
            </w:r>
            <w:r w:rsidRPr="00847EF6">
              <w:t xml:space="preserve">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Геленджика,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с момента з</w:t>
            </w:r>
            <w:r w:rsidRPr="00847EF6">
              <w:t>а</w:t>
            </w:r>
            <w:r w:rsidRPr="00847EF6">
              <w:t>ключения контракта г. по 30.06.2021г. Отпуск т</w:t>
            </w:r>
            <w:r w:rsidRPr="00847EF6">
              <w:t>о</w:t>
            </w:r>
            <w:r w:rsidRPr="00847EF6">
              <w:t xml:space="preserve">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23143.50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D3507" w:rsidRDefault="00FB5146" w:rsidP="00FB5146">
            <w:r w:rsidRPr="00847EF6">
              <w:t>Согласно Приложению №2 "Порядок предоста</w:t>
            </w:r>
            <w:r w:rsidRPr="00847EF6">
              <w:t>в</w:t>
            </w:r>
            <w:r w:rsidRPr="00847EF6">
              <w:t>ления обеспечения заявок"  извещению о пров</w:t>
            </w:r>
            <w:r w:rsidRPr="00847EF6">
              <w:t>е</w:t>
            </w:r>
            <w:r w:rsidRPr="00847EF6">
              <w:t>дении электронного аукциона</w:t>
            </w:r>
            <w:r w:rsidRPr="002D350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833DE9" w:rsidP="00FB5146">
            <w:r>
              <w:t>Платежные реквизиты для перечисления д</w:t>
            </w:r>
            <w:r>
              <w:t>е</w:t>
            </w:r>
            <w:r>
              <w:t>нежных сре</w:t>
            </w:r>
            <w:proofErr w:type="gramStart"/>
            <w:r>
              <w:t>дств пр</w:t>
            </w:r>
            <w:proofErr w:type="gramEnd"/>
            <w:r>
              <w:t>и уклонении участника з</w:t>
            </w:r>
            <w:r>
              <w:t>а</w:t>
            </w:r>
            <w:r>
              <w:t>купки от заключения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115717.50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lastRenderedPageBreak/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lastRenderedPageBreak/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D3507" w:rsidRDefault="00911B87" w:rsidP="00911B87"/>
    <w:p w:rsidR="00324540" w:rsidRPr="002D3507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8"/>
        <w:gridCol w:w="2208"/>
        <w:gridCol w:w="1422"/>
        <w:gridCol w:w="1279"/>
        <w:gridCol w:w="1417"/>
        <w:gridCol w:w="2208"/>
        <w:gridCol w:w="168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Топливо дизельное межсезонное эколог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ческого класса не ниже К5 (розничная поста</w:t>
            </w:r>
            <w:r w:rsidRPr="00407935">
              <w:rPr>
                <w:sz w:val="20"/>
                <w:szCs w:val="20"/>
              </w:rPr>
              <w:t>в</w:t>
            </w:r>
            <w:r w:rsidRPr="00407935">
              <w:rPr>
                <w:sz w:val="20"/>
                <w:szCs w:val="20"/>
              </w:rPr>
              <w:t>ка)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19.20.21.345-00002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Сорт/класс топлива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E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D350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51.43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2 314 350.00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19.20.21.345-00002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топлива дизельного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Межсезонное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D350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2 314 350.00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19.20.21.345-00002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D350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2 314 350.00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2 314 350,00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D350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D350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2D350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2D3507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2D3507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2D3507">
        <w:rPr>
          <w:b w:val="0"/>
          <w:bCs w:val="0"/>
        </w:rPr>
        <w:br w:type="page"/>
      </w:r>
    </w:p>
    <w:sectPr w:rsidR="00FB5146" w:rsidRPr="002D350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507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1A07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38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4</cp:revision>
  <cp:lastPrinted>2020-12-11T08:54:00Z</cp:lastPrinted>
  <dcterms:created xsi:type="dcterms:W3CDTF">2020-12-11T08:51:00Z</dcterms:created>
  <dcterms:modified xsi:type="dcterms:W3CDTF">2020-12-11T08:54:00Z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