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54" w:rsidRPr="009E4754" w:rsidRDefault="009E4754" w:rsidP="009E4754">
      <w:pPr>
        <w:spacing w:after="0"/>
        <w:contextualSpacing/>
        <w:jc w:val="right"/>
        <w:rPr>
          <w:rFonts w:ascii="Segoe UI" w:hAnsi="Segoe UI" w:cs="Segoe UI"/>
          <w:b/>
          <w:sz w:val="28"/>
          <w:szCs w:val="28"/>
        </w:rPr>
      </w:pPr>
      <w:r>
        <w:rPr>
          <w:rFonts w:ascii="Segoe UI" w:hAnsi="Segoe UI" w:cs="Segoe UI"/>
          <w:b/>
          <w:sz w:val="28"/>
          <w:szCs w:val="28"/>
        </w:rPr>
        <w:t>ПРЕСС-РЕЛИЗ</w:t>
      </w:r>
    </w:p>
    <w:p w:rsidR="00B30761" w:rsidRDefault="00B30761" w:rsidP="00B30761">
      <w:pPr>
        <w:spacing w:after="0" w:line="240" w:lineRule="auto"/>
        <w:ind w:firstLine="709"/>
        <w:jc w:val="center"/>
        <w:rPr>
          <w:rFonts w:ascii="Segoe UI" w:hAnsi="Segoe UI" w:cs="Segoe UI"/>
          <w:b/>
          <w:sz w:val="32"/>
        </w:rPr>
      </w:pPr>
      <w:r w:rsidRPr="00B30761">
        <w:rPr>
          <w:rFonts w:ascii="Segoe UI" w:hAnsi="Segoe UI" w:cs="Segoe UI"/>
          <w:b/>
          <w:sz w:val="32"/>
        </w:rPr>
        <w:t xml:space="preserve">По итогам 2020 года Кадастровой палатой по Краснодарскому краю выдано более 2,8 </w:t>
      </w:r>
      <w:proofErr w:type="spellStart"/>
      <w:proofErr w:type="gramStart"/>
      <w:r w:rsidRPr="00B30761">
        <w:rPr>
          <w:rFonts w:ascii="Segoe UI" w:hAnsi="Segoe UI" w:cs="Segoe UI"/>
          <w:b/>
          <w:sz w:val="32"/>
        </w:rPr>
        <w:t>млн</w:t>
      </w:r>
      <w:proofErr w:type="spellEnd"/>
      <w:proofErr w:type="gramEnd"/>
      <w:r w:rsidRPr="00B30761">
        <w:rPr>
          <w:rFonts w:ascii="Segoe UI" w:hAnsi="Segoe UI" w:cs="Segoe UI"/>
          <w:b/>
          <w:sz w:val="32"/>
        </w:rPr>
        <w:t xml:space="preserve"> выписок из ЕГРН</w:t>
      </w:r>
    </w:p>
    <w:p w:rsidR="00B30761" w:rsidRDefault="00B30761" w:rsidP="00B30761">
      <w:pPr>
        <w:spacing w:after="0" w:line="240" w:lineRule="auto"/>
        <w:ind w:firstLine="709"/>
        <w:rPr>
          <w:rFonts w:ascii="Segoe UI" w:hAnsi="Segoe UI" w:cs="Segoe UI"/>
          <w:i/>
          <w:sz w:val="24"/>
        </w:rPr>
      </w:pPr>
    </w:p>
    <w:p w:rsidR="00B30761" w:rsidRPr="00B30761" w:rsidRDefault="00B30761" w:rsidP="00B30761">
      <w:pPr>
        <w:spacing w:after="0" w:line="240" w:lineRule="auto"/>
        <w:ind w:firstLine="709"/>
        <w:jc w:val="both"/>
        <w:rPr>
          <w:rFonts w:ascii="Segoe UI" w:hAnsi="Segoe UI" w:cs="Segoe UI"/>
          <w:i/>
          <w:sz w:val="24"/>
        </w:rPr>
      </w:pPr>
      <w:r>
        <w:rPr>
          <w:rFonts w:ascii="Segoe UI" w:hAnsi="Segoe UI" w:cs="Segoe UI"/>
          <w:i/>
          <w:sz w:val="24"/>
        </w:rPr>
        <w:t>Краснодарский край занял 3-е место в числе регионов лидеров по наибольшему количеству выданных сведений из Единого государственного реестра недвижимости</w:t>
      </w:r>
      <w:r w:rsidRPr="00B30761">
        <w:rPr>
          <w:rFonts w:ascii="Segoe UI" w:hAnsi="Segoe UI" w:cs="Segoe UI"/>
          <w:i/>
          <w:sz w:val="24"/>
        </w:rPr>
        <w:t xml:space="preserve"> </w:t>
      </w:r>
    </w:p>
    <w:p w:rsidR="00B30761" w:rsidRPr="00B30761" w:rsidRDefault="00B30761" w:rsidP="00B30761">
      <w:pPr>
        <w:spacing w:after="0" w:line="240" w:lineRule="auto"/>
        <w:ind w:firstLine="709"/>
        <w:jc w:val="both"/>
        <w:rPr>
          <w:rFonts w:ascii="Segoe UI" w:hAnsi="Segoe UI" w:cs="Segoe UI"/>
          <w:sz w:val="24"/>
        </w:rPr>
      </w:pPr>
    </w:p>
    <w:p w:rsidR="00B30761" w:rsidRPr="00B30761" w:rsidRDefault="009E4754" w:rsidP="00B30761">
      <w:pPr>
        <w:spacing w:after="0" w:line="240" w:lineRule="auto"/>
        <w:ind w:firstLine="709"/>
        <w:jc w:val="both"/>
        <w:rPr>
          <w:rFonts w:ascii="Segoe UI" w:hAnsi="Segoe UI" w:cs="Segoe UI"/>
          <w:sz w:val="24"/>
        </w:rPr>
      </w:pPr>
      <w:r>
        <w:rPr>
          <w:rFonts w:ascii="Segoe UI" w:hAnsi="Segoe UI" w:cs="Segoe UI"/>
          <w:noProof/>
          <w:sz w:val="24"/>
        </w:rPr>
        <w:drawing>
          <wp:anchor distT="0" distB="0" distL="114300" distR="114300" simplePos="0" relativeHeight="251658240" behindDoc="1" locked="0" layoutInCell="1" allowOverlap="1">
            <wp:simplePos x="0" y="0"/>
            <wp:positionH relativeFrom="column">
              <wp:posOffset>-146050</wp:posOffset>
            </wp:positionH>
            <wp:positionV relativeFrom="paragraph">
              <wp:posOffset>132715</wp:posOffset>
            </wp:positionV>
            <wp:extent cx="2334895" cy="641350"/>
            <wp:effectExtent l="19050" t="0" r="8255" b="0"/>
            <wp:wrapTight wrapText="bothSides">
              <wp:wrapPolygon edited="0">
                <wp:start x="-176" y="0"/>
                <wp:lineTo x="-176" y="21172"/>
                <wp:lineTo x="21676" y="21172"/>
                <wp:lineTo x="21676" y="0"/>
                <wp:lineTo x="-176" y="0"/>
              </wp:wrapPolygon>
            </wp:wrapTight>
            <wp:docPr id="2" name="Рисунок 1" descr="C:\Users\User2142\Desktop\Новая папка\ЛОГОТИПЫ\логотипы в работу\новые логотипы\Лого КП по 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42\Desktop\Новая папка\ЛОГОТИПЫ\логотипы в работу\новые логотипы\Лого КП по КК.jpg"/>
                    <pic:cNvPicPr>
                      <a:picLocks noChangeAspect="1" noChangeArrowheads="1"/>
                    </pic:cNvPicPr>
                  </pic:nvPicPr>
                  <pic:blipFill>
                    <a:blip r:embed="rId4"/>
                    <a:srcRect/>
                    <a:stretch>
                      <a:fillRect/>
                    </a:stretch>
                  </pic:blipFill>
                  <pic:spPr bwMode="auto">
                    <a:xfrm>
                      <a:off x="0" y="0"/>
                      <a:ext cx="2334895" cy="641350"/>
                    </a:xfrm>
                    <a:prstGeom prst="rect">
                      <a:avLst/>
                    </a:prstGeom>
                    <a:noFill/>
                    <a:ln w="9525">
                      <a:noFill/>
                      <a:miter lim="800000"/>
                      <a:headEnd/>
                      <a:tailEnd/>
                    </a:ln>
                  </pic:spPr>
                </pic:pic>
              </a:graphicData>
            </a:graphic>
          </wp:anchor>
        </w:drawing>
      </w:r>
      <w:r w:rsidR="00B30761" w:rsidRPr="00B30761">
        <w:rPr>
          <w:rFonts w:ascii="Segoe UI" w:hAnsi="Segoe UI" w:cs="Segoe UI"/>
          <w:sz w:val="24"/>
        </w:rPr>
        <w:t xml:space="preserve">Общее количество выписок из Единого государственного реестра недвижимости (ЕГРН), предоставленных </w:t>
      </w:r>
      <w:proofErr w:type="spellStart"/>
      <w:r w:rsidR="00B30761" w:rsidRPr="00B30761">
        <w:rPr>
          <w:rFonts w:ascii="Segoe UI" w:hAnsi="Segoe UI" w:cs="Segoe UI"/>
          <w:sz w:val="24"/>
        </w:rPr>
        <w:t>Росреестром</w:t>
      </w:r>
      <w:proofErr w:type="spellEnd"/>
      <w:r w:rsidR="00B30761" w:rsidRPr="00B30761">
        <w:rPr>
          <w:rFonts w:ascii="Segoe UI" w:hAnsi="Segoe UI" w:cs="Segoe UI"/>
          <w:sz w:val="24"/>
        </w:rPr>
        <w:t xml:space="preserve"> за 2020 год, составило 98,3 млн. Это на 10% больше, чем в 2019 году (89,4 </w:t>
      </w:r>
      <w:proofErr w:type="spellStart"/>
      <w:proofErr w:type="gramStart"/>
      <w:r w:rsidR="00B30761" w:rsidRPr="00B30761">
        <w:rPr>
          <w:rFonts w:ascii="Segoe UI" w:hAnsi="Segoe UI" w:cs="Segoe UI"/>
          <w:sz w:val="24"/>
        </w:rPr>
        <w:t>млн</w:t>
      </w:r>
      <w:proofErr w:type="spellEnd"/>
      <w:proofErr w:type="gramEnd"/>
      <w:r w:rsidR="00B30761" w:rsidRPr="00B30761">
        <w:rPr>
          <w:rFonts w:ascii="Segoe UI" w:hAnsi="Segoe UI" w:cs="Segoe UI"/>
          <w:sz w:val="24"/>
        </w:rPr>
        <w:t>).</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 xml:space="preserve">Наибольшее количество таких запросов было направлено в </w:t>
      </w:r>
      <w:proofErr w:type="spellStart"/>
      <w:r w:rsidRPr="00B30761">
        <w:rPr>
          <w:rFonts w:ascii="Segoe UI" w:hAnsi="Segoe UI" w:cs="Segoe UI"/>
          <w:sz w:val="24"/>
        </w:rPr>
        <w:t>Росреестр</w:t>
      </w:r>
      <w:proofErr w:type="spellEnd"/>
      <w:r w:rsidRPr="00B30761">
        <w:rPr>
          <w:rFonts w:ascii="Segoe UI" w:hAnsi="Segoe UI" w:cs="Segoe UI"/>
          <w:sz w:val="24"/>
        </w:rPr>
        <w:t xml:space="preserve"> из Центрального федерального округа (54,1 </w:t>
      </w:r>
      <w:proofErr w:type="spellStart"/>
      <w:proofErr w:type="gramStart"/>
      <w:r w:rsidRPr="00B30761">
        <w:rPr>
          <w:rFonts w:ascii="Segoe UI" w:hAnsi="Segoe UI" w:cs="Segoe UI"/>
          <w:sz w:val="24"/>
        </w:rPr>
        <w:t>млн</w:t>
      </w:r>
      <w:proofErr w:type="spellEnd"/>
      <w:proofErr w:type="gramEnd"/>
      <w:r w:rsidRPr="00B30761">
        <w:rPr>
          <w:rFonts w:ascii="Segoe UI" w:hAnsi="Segoe UI" w:cs="Segoe UI"/>
          <w:sz w:val="24"/>
        </w:rPr>
        <w:t xml:space="preserve">), Приволжского (12 </w:t>
      </w:r>
      <w:proofErr w:type="spellStart"/>
      <w:r w:rsidRPr="00B30761">
        <w:rPr>
          <w:rFonts w:ascii="Segoe UI" w:hAnsi="Segoe UI" w:cs="Segoe UI"/>
          <w:sz w:val="24"/>
        </w:rPr>
        <w:t>млн</w:t>
      </w:r>
      <w:proofErr w:type="spellEnd"/>
      <w:r w:rsidRPr="00B30761">
        <w:rPr>
          <w:rFonts w:ascii="Segoe UI" w:hAnsi="Segoe UI" w:cs="Segoe UI"/>
          <w:sz w:val="24"/>
        </w:rPr>
        <w:t xml:space="preserve">) и Южного федеральных округов (8,1 </w:t>
      </w:r>
      <w:proofErr w:type="spellStart"/>
      <w:r w:rsidRPr="00B30761">
        <w:rPr>
          <w:rFonts w:ascii="Segoe UI" w:hAnsi="Segoe UI" w:cs="Segoe UI"/>
          <w:sz w:val="24"/>
        </w:rPr>
        <w:t>млн</w:t>
      </w:r>
      <w:proofErr w:type="spellEnd"/>
      <w:r w:rsidRPr="00B30761">
        <w:rPr>
          <w:rFonts w:ascii="Segoe UI" w:hAnsi="Segoe UI" w:cs="Segoe UI"/>
          <w:sz w:val="24"/>
        </w:rPr>
        <w:t xml:space="preserve">). Среди регионов лидеров – Московская область (4,6 </w:t>
      </w:r>
      <w:proofErr w:type="spellStart"/>
      <w:proofErr w:type="gramStart"/>
      <w:r w:rsidRPr="00B30761">
        <w:rPr>
          <w:rFonts w:ascii="Segoe UI" w:hAnsi="Segoe UI" w:cs="Segoe UI"/>
          <w:sz w:val="24"/>
        </w:rPr>
        <w:t>млн</w:t>
      </w:r>
      <w:proofErr w:type="spellEnd"/>
      <w:proofErr w:type="gramEnd"/>
      <w:r w:rsidRPr="00B30761">
        <w:rPr>
          <w:rFonts w:ascii="Segoe UI" w:hAnsi="Segoe UI" w:cs="Segoe UI"/>
          <w:sz w:val="24"/>
        </w:rPr>
        <w:t xml:space="preserve">), Москва (4 </w:t>
      </w:r>
      <w:proofErr w:type="spellStart"/>
      <w:r w:rsidRPr="00B30761">
        <w:rPr>
          <w:rFonts w:ascii="Segoe UI" w:hAnsi="Segoe UI" w:cs="Segoe UI"/>
          <w:sz w:val="24"/>
        </w:rPr>
        <w:t>млн</w:t>
      </w:r>
      <w:proofErr w:type="spellEnd"/>
      <w:r w:rsidRPr="00B30761">
        <w:rPr>
          <w:rFonts w:ascii="Segoe UI" w:hAnsi="Segoe UI" w:cs="Segoe UI"/>
          <w:sz w:val="24"/>
        </w:rPr>
        <w:t xml:space="preserve">), Краснодарский край (2,8 </w:t>
      </w:r>
      <w:proofErr w:type="spellStart"/>
      <w:r w:rsidRPr="00B30761">
        <w:rPr>
          <w:rFonts w:ascii="Segoe UI" w:hAnsi="Segoe UI" w:cs="Segoe UI"/>
          <w:sz w:val="24"/>
        </w:rPr>
        <w:t>млн</w:t>
      </w:r>
      <w:proofErr w:type="spellEnd"/>
      <w:r w:rsidRPr="00B30761">
        <w:rPr>
          <w:rFonts w:ascii="Segoe UI" w:hAnsi="Segoe UI" w:cs="Segoe UI"/>
          <w:sz w:val="24"/>
        </w:rPr>
        <w:t xml:space="preserve">), Волгоградская область (2,3 </w:t>
      </w:r>
      <w:proofErr w:type="spellStart"/>
      <w:r w:rsidRPr="00B30761">
        <w:rPr>
          <w:rFonts w:ascii="Segoe UI" w:hAnsi="Segoe UI" w:cs="Segoe UI"/>
          <w:sz w:val="24"/>
        </w:rPr>
        <w:t>млн</w:t>
      </w:r>
      <w:proofErr w:type="spellEnd"/>
      <w:r w:rsidRPr="00B30761">
        <w:rPr>
          <w:rFonts w:ascii="Segoe UI" w:hAnsi="Segoe UI" w:cs="Segoe UI"/>
          <w:sz w:val="24"/>
        </w:rPr>
        <w:t xml:space="preserve">) и республика Башкортостан (2 </w:t>
      </w:r>
      <w:proofErr w:type="spellStart"/>
      <w:r w:rsidRPr="00B30761">
        <w:rPr>
          <w:rFonts w:ascii="Segoe UI" w:hAnsi="Segoe UI" w:cs="Segoe UI"/>
          <w:sz w:val="24"/>
        </w:rPr>
        <w:t>млн</w:t>
      </w:r>
      <w:proofErr w:type="spellEnd"/>
      <w:r w:rsidRPr="00B30761">
        <w:rPr>
          <w:rFonts w:ascii="Segoe UI" w:hAnsi="Segoe UI" w:cs="Segoe UI"/>
          <w:sz w:val="24"/>
        </w:rPr>
        <w:t>).</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 xml:space="preserve">Доля электронных запросов сведений из ЕГРН, поступивших в </w:t>
      </w:r>
      <w:proofErr w:type="spellStart"/>
      <w:r w:rsidRPr="00B30761">
        <w:rPr>
          <w:rFonts w:ascii="Segoe UI" w:hAnsi="Segoe UI" w:cs="Segoe UI"/>
          <w:sz w:val="24"/>
        </w:rPr>
        <w:t>Росреестр</w:t>
      </w:r>
      <w:proofErr w:type="spellEnd"/>
      <w:r w:rsidRPr="00B30761">
        <w:rPr>
          <w:rFonts w:ascii="Segoe UI" w:hAnsi="Segoe UI" w:cs="Segoe UI"/>
          <w:sz w:val="24"/>
        </w:rPr>
        <w:t xml:space="preserve"> за 2020 год, составила 91%. Это на 2,5% больше, чем годом ранее.</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Кроме того, в 2020 году возможностью быстрого получения выписок через </w:t>
      </w:r>
      <w:proofErr w:type="spellStart"/>
      <w:r w:rsidRPr="00B30761">
        <w:rPr>
          <w:rFonts w:ascii="Segoe UI" w:hAnsi="Segoe UI" w:cs="Segoe UI"/>
          <w:sz w:val="24"/>
        </w:rPr>
        <w:fldChar w:fldCharType="begin"/>
      </w:r>
      <w:r w:rsidRPr="00B30761">
        <w:rPr>
          <w:rFonts w:ascii="Segoe UI" w:hAnsi="Segoe UI" w:cs="Segoe UI"/>
          <w:sz w:val="24"/>
        </w:rPr>
        <w:instrText xml:space="preserve"> HYPERLINK "https://kadastr.ru/services/zakaz-vypisok-iz-egrn/" </w:instrText>
      </w:r>
      <w:r w:rsidRPr="00B30761">
        <w:rPr>
          <w:rFonts w:ascii="Segoe UI" w:hAnsi="Segoe UI" w:cs="Segoe UI"/>
          <w:sz w:val="24"/>
        </w:rPr>
        <w:fldChar w:fldCharType="separate"/>
      </w:r>
      <w:r w:rsidRPr="00B30761">
        <w:rPr>
          <w:rStyle w:val="a3"/>
          <w:rFonts w:ascii="Segoe UI" w:hAnsi="Segoe UI" w:cs="Segoe UI"/>
          <w:sz w:val="24"/>
        </w:rPr>
        <w:t>онлайн-сервис</w:t>
      </w:r>
      <w:proofErr w:type="spellEnd"/>
      <w:r w:rsidRPr="00B30761">
        <w:rPr>
          <w:rFonts w:ascii="Segoe UI" w:hAnsi="Segoe UI" w:cs="Segoe UI"/>
          <w:sz w:val="24"/>
        </w:rPr>
        <w:fldChar w:fldCharType="end"/>
      </w:r>
      <w:r w:rsidRPr="00B30761">
        <w:rPr>
          <w:rFonts w:ascii="Segoe UI" w:hAnsi="Segoe UI" w:cs="Segoe UI"/>
          <w:sz w:val="24"/>
        </w:rPr>
        <w:t xml:space="preserve"> Федеральной кадастровой палаты </w:t>
      </w:r>
      <w:proofErr w:type="spellStart"/>
      <w:r w:rsidRPr="00B30761">
        <w:rPr>
          <w:rFonts w:ascii="Segoe UI" w:hAnsi="Segoe UI" w:cs="Segoe UI"/>
          <w:sz w:val="24"/>
        </w:rPr>
        <w:t>Росреестра</w:t>
      </w:r>
      <w:proofErr w:type="spellEnd"/>
      <w:r w:rsidRPr="00B30761">
        <w:rPr>
          <w:rFonts w:ascii="Segoe UI" w:hAnsi="Segoe UI" w:cs="Segoe UI"/>
          <w:sz w:val="24"/>
        </w:rPr>
        <w:t xml:space="preserve"> воспользовались около 362 тысяч раз. Наибольшую популярность услуги </w:t>
      </w:r>
      <w:proofErr w:type="spellStart"/>
      <w:r w:rsidRPr="00B30761">
        <w:rPr>
          <w:rFonts w:ascii="Segoe UI" w:hAnsi="Segoe UI" w:cs="Segoe UI"/>
          <w:sz w:val="24"/>
        </w:rPr>
        <w:t>онлайн-сервиса</w:t>
      </w:r>
      <w:proofErr w:type="spellEnd"/>
      <w:r w:rsidRPr="00B30761">
        <w:rPr>
          <w:rFonts w:ascii="Segoe UI" w:hAnsi="Segoe UI" w:cs="Segoe UI"/>
          <w:sz w:val="24"/>
        </w:rPr>
        <w:t xml:space="preserve"> получили в Московской области (сервис выдал 31 818 выписок) и Москве (27 252 выписок), несмотря на то, что здесь сервис начал работу только в июле. По стране лидирующие регионы по выдаче сведений из ЕГРН через </w:t>
      </w:r>
      <w:proofErr w:type="spellStart"/>
      <w:r w:rsidRPr="00B30761">
        <w:rPr>
          <w:rFonts w:ascii="Segoe UI" w:hAnsi="Segoe UI" w:cs="Segoe UI"/>
          <w:sz w:val="24"/>
        </w:rPr>
        <w:fldChar w:fldCharType="begin"/>
      </w:r>
      <w:r w:rsidRPr="00B30761">
        <w:rPr>
          <w:rFonts w:ascii="Segoe UI" w:hAnsi="Segoe UI" w:cs="Segoe UI"/>
          <w:sz w:val="24"/>
        </w:rPr>
        <w:instrText xml:space="preserve"> HYPERLINK "https://kadastr.ru/services/zakaz-vypisok-iz-egrn/" </w:instrText>
      </w:r>
      <w:r w:rsidRPr="00B30761">
        <w:rPr>
          <w:rFonts w:ascii="Segoe UI" w:hAnsi="Segoe UI" w:cs="Segoe UI"/>
          <w:sz w:val="24"/>
        </w:rPr>
        <w:fldChar w:fldCharType="separate"/>
      </w:r>
      <w:r w:rsidRPr="00B30761">
        <w:rPr>
          <w:rStyle w:val="a3"/>
          <w:rFonts w:ascii="Segoe UI" w:hAnsi="Segoe UI" w:cs="Segoe UI"/>
          <w:sz w:val="24"/>
        </w:rPr>
        <w:t>онлайн-сервис</w:t>
      </w:r>
      <w:proofErr w:type="spellEnd"/>
      <w:r w:rsidRPr="00B30761">
        <w:rPr>
          <w:rFonts w:ascii="Segoe UI" w:hAnsi="Segoe UI" w:cs="Segoe UI"/>
          <w:sz w:val="24"/>
        </w:rPr>
        <w:fldChar w:fldCharType="end"/>
      </w:r>
      <w:r w:rsidRPr="00B30761">
        <w:rPr>
          <w:rFonts w:ascii="Segoe UI" w:hAnsi="Segoe UI" w:cs="Segoe UI"/>
          <w:sz w:val="24"/>
        </w:rPr>
        <w:t> учреждения: Красноярский край – 24 324, Тюменская область – 23 467, Пермский край – 21 708.</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 xml:space="preserve">При этом самыми популярными электронными сервисами </w:t>
      </w:r>
      <w:proofErr w:type="spellStart"/>
      <w:r w:rsidRPr="00B30761">
        <w:rPr>
          <w:rFonts w:ascii="Segoe UI" w:hAnsi="Segoe UI" w:cs="Segoe UI"/>
          <w:sz w:val="24"/>
        </w:rPr>
        <w:t>Росреестра</w:t>
      </w:r>
      <w:proofErr w:type="spellEnd"/>
      <w:r w:rsidRPr="00B30761">
        <w:rPr>
          <w:rFonts w:ascii="Segoe UI" w:hAnsi="Segoe UI" w:cs="Segoe UI"/>
          <w:sz w:val="24"/>
        </w:rPr>
        <w:t xml:space="preserve"> стали «Запрос посредством доступа к ФГИС ЕГРН», «Справочная информация по объектам недвижимости в режиме </w:t>
      </w:r>
      <w:proofErr w:type="spellStart"/>
      <w:r w:rsidRPr="00B30761">
        <w:rPr>
          <w:rFonts w:ascii="Segoe UI" w:hAnsi="Segoe UI" w:cs="Segoe UI"/>
          <w:sz w:val="24"/>
        </w:rPr>
        <w:t>Online</w:t>
      </w:r>
      <w:proofErr w:type="spellEnd"/>
      <w:r w:rsidRPr="00B30761">
        <w:rPr>
          <w:rFonts w:ascii="Segoe UI" w:hAnsi="Segoe UI" w:cs="Segoe UI"/>
          <w:sz w:val="24"/>
        </w:rPr>
        <w:t>», «Выписка из ЕГРН об основных характеристиках и зарегистрированных правах на объект недвижимости», а также «Выписка из ЕГРН о переходе прав на объект недвижимости».</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 xml:space="preserve">Напоминаем, с помощью электронных сервисов </w:t>
      </w:r>
      <w:proofErr w:type="spellStart"/>
      <w:r w:rsidRPr="00B30761">
        <w:rPr>
          <w:rFonts w:ascii="Segoe UI" w:hAnsi="Segoe UI" w:cs="Segoe UI"/>
          <w:sz w:val="24"/>
        </w:rPr>
        <w:t>Росреестра</w:t>
      </w:r>
      <w:proofErr w:type="spellEnd"/>
      <w:r w:rsidRPr="00B30761">
        <w:rPr>
          <w:rFonts w:ascii="Segoe UI" w:hAnsi="Segoe UI" w:cs="Segoe UI"/>
          <w:sz w:val="24"/>
        </w:rPr>
        <w:t xml:space="preserve"> и Федеральной кадастровой </w:t>
      </w:r>
      <w:hyperlink r:id="rId5" w:history="1">
        <w:r w:rsidRPr="00B30761">
          <w:rPr>
            <w:rStyle w:val="a3"/>
            <w:rFonts w:ascii="Segoe UI" w:hAnsi="Segoe UI" w:cs="Segoe UI"/>
            <w:sz w:val="24"/>
          </w:rPr>
          <w:t>палаты</w:t>
        </w:r>
      </w:hyperlink>
      <w:r w:rsidRPr="00B30761">
        <w:rPr>
          <w:rFonts w:ascii="Segoe UI" w:hAnsi="Segoe UI" w:cs="Segoe UI"/>
          <w:sz w:val="24"/>
        </w:rPr>
        <w:t> любое заинтересованное лицо может заказать выписку из ЕГРН и получить общедоступные сведения о том или ином объекте недвижимости. Чтобы получить информацию, достаточно ввести кадастровый номер объекта недвижимости, либо его адрес. Выписки из ЕГРН ограниченного доступа, которые содержат персональные данные правообладателя, могут быть предоставлены только собственникам или лицам с доверенностью.</w:t>
      </w:r>
    </w:p>
    <w:p w:rsidR="00B30761" w:rsidRPr="00B30761" w:rsidRDefault="00B30761" w:rsidP="00B30761">
      <w:pPr>
        <w:spacing w:after="0" w:line="240" w:lineRule="auto"/>
        <w:ind w:firstLine="709"/>
        <w:jc w:val="both"/>
        <w:rPr>
          <w:rFonts w:ascii="Segoe UI" w:hAnsi="Segoe UI" w:cs="Segoe UI"/>
          <w:sz w:val="24"/>
        </w:rPr>
      </w:pPr>
      <w:r w:rsidRPr="00B30761">
        <w:rPr>
          <w:rFonts w:ascii="Segoe UI" w:hAnsi="Segoe UI" w:cs="Segoe UI"/>
          <w:sz w:val="24"/>
        </w:rPr>
        <w:t xml:space="preserve">В настоящее время </w:t>
      </w:r>
      <w:proofErr w:type="spellStart"/>
      <w:r w:rsidRPr="00B30761">
        <w:rPr>
          <w:rFonts w:ascii="Segoe UI" w:hAnsi="Segoe UI" w:cs="Segoe UI"/>
          <w:sz w:val="24"/>
        </w:rPr>
        <w:t>Росреестр</w:t>
      </w:r>
      <w:proofErr w:type="spellEnd"/>
      <w:r w:rsidRPr="00B30761">
        <w:rPr>
          <w:rFonts w:ascii="Segoe UI" w:hAnsi="Segoe UI" w:cs="Segoe UI"/>
          <w:sz w:val="24"/>
        </w:rPr>
        <w:t xml:space="preserve"> реализует ведомственную программу </w:t>
      </w:r>
      <w:proofErr w:type="gramStart"/>
      <w:r w:rsidRPr="00B30761">
        <w:rPr>
          <w:rFonts w:ascii="Segoe UI" w:hAnsi="Segoe UI" w:cs="Segoe UI"/>
          <w:sz w:val="24"/>
        </w:rPr>
        <w:t>цифровой</w:t>
      </w:r>
      <w:proofErr w:type="gramEnd"/>
      <w:r w:rsidRPr="00B30761">
        <w:rPr>
          <w:rFonts w:ascii="Segoe UI" w:hAnsi="Segoe UI" w:cs="Segoe UI"/>
          <w:sz w:val="24"/>
        </w:rPr>
        <w:t xml:space="preserve"> трансформации. В рамках этой работы планируется вывести массовые государственные услуги </w:t>
      </w:r>
      <w:proofErr w:type="spellStart"/>
      <w:r w:rsidRPr="00B30761">
        <w:rPr>
          <w:rFonts w:ascii="Segoe UI" w:hAnsi="Segoe UI" w:cs="Segoe UI"/>
          <w:sz w:val="24"/>
        </w:rPr>
        <w:t>Росреестра</w:t>
      </w:r>
      <w:proofErr w:type="spellEnd"/>
      <w:r w:rsidRPr="00B30761">
        <w:rPr>
          <w:rFonts w:ascii="Segoe UI" w:hAnsi="Segoe UI" w:cs="Segoe UI"/>
          <w:sz w:val="24"/>
        </w:rPr>
        <w:t xml:space="preserve"> на Единый портал государственных услуг (ЕПГУ). В результате </w:t>
      </w:r>
      <w:proofErr w:type="gramStart"/>
      <w:r w:rsidRPr="00B30761">
        <w:rPr>
          <w:rFonts w:ascii="Segoe UI" w:hAnsi="Segoe UI" w:cs="Segoe UI"/>
          <w:sz w:val="24"/>
        </w:rPr>
        <w:t>пользователи</w:t>
      </w:r>
      <w:proofErr w:type="gramEnd"/>
      <w:r w:rsidRPr="00B30761">
        <w:rPr>
          <w:rFonts w:ascii="Segoe UI" w:hAnsi="Segoe UI" w:cs="Segoe UI"/>
          <w:sz w:val="24"/>
        </w:rPr>
        <w:t xml:space="preserve"> в том числе смогут оперативно запрашивать сведения из ЕГРН.</w:t>
      </w:r>
    </w:p>
    <w:p w:rsidR="009E4754" w:rsidRDefault="009E4754" w:rsidP="009E4754">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9E4754" w:rsidRDefault="009E4754" w:rsidP="009E4754">
      <w:pPr>
        <w:pStyle w:val="a4"/>
        <w:spacing w:before="0" w:beforeAutospacing="0" w:after="0" w:afterAutospacing="0"/>
        <w:jc w:val="both"/>
        <w:rPr>
          <w:rFonts w:ascii="Segoe UI" w:hAnsi="Segoe UI" w:cs="Segoe UI"/>
          <w:color w:val="000000"/>
          <w:szCs w:val="28"/>
        </w:rPr>
      </w:pPr>
      <w:r>
        <w:rPr>
          <w:noProof/>
        </w:rPr>
        <w:drawing>
          <wp:anchor distT="0" distB="0" distL="114300" distR="114300" simplePos="0" relativeHeight="251660288" behindDoc="1" locked="0" layoutInCell="1" allowOverlap="1">
            <wp:simplePos x="0" y="0"/>
            <wp:positionH relativeFrom="column">
              <wp:posOffset>26670</wp:posOffset>
            </wp:positionH>
            <wp:positionV relativeFrom="paragraph">
              <wp:posOffset>113030</wp:posOffset>
            </wp:positionV>
            <wp:extent cx="297180" cy="297180"/>
            <wp:effectExtent l="19050" t="0" r="7620" b="0"/>
            <wp:wrapTight wrapText="bothSides">
              <wp:wrapPolygon edited="0">
                <wp:start x="-1385" y="0"/>
                <wp:lineTo x="-1385" y="20769"/>
                <wp:lineTo x="22154" y="20769"/>
                <wp:lineTo x="22154" y="0"/>
                <wp:lineTo x="-1385" y="0"/>
              </wp:wrapPolygon>
            </wp:wrapTight>
            <wp:docPr id="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6"/>
                    <a:srcRect/>
                    <a:stretch>
                      <a:fillRect/>
                    </a:stretch>
                  </pic:blipFill>
                  <pic:spPr bwMode="auto">
                    <a:xfrm>
                      <a:off x="0" y="0"/>
                      <a:ext cx="297180" cy="297180"/>
                    </a:xfrm>
                    <a:prstGeom prst="rect">
                      <a:avLst/>
                    </a:prstGeom>
                    <a:noFill/>
                    <a:ln w="9525">
                      <a:noFill/>
                      <a:miter lim="800000"/>
                      <a:headEnd/>
                      <a:tailEnd/>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9E4754" w:rsidRDefault="009E4754" w:rsidP="009E4754">
      <w:pPr>
        <w:pStyle w:val="a4"/>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9E4754" w:rsidRDefault="009E4754" w:rsidP="009E4754">
      <w:pPr>
        <w:pStyle w:val="a4"/>
        <w:spacing w:before="0" w:beforeAutospacing="0" w:after="0" w:afterAutospacing="0"/>
        <w:rPr>
          <w:rStyle w:val="a3"/>
          <w:sz w:val="22"/>
          <w:szCs w:val="22"/>
        </w:rPr>
      </w:pPr>
    </w:p>
    <w:tbl>
      <w:tblPr>
        <w:tblW w:w="10380" w:type="dxa"/>
        <w:jc w:val="center"/>
        <w:tblLayout w:type="fixed"/>
        <w:tblLook w:val="04A0"/>
      </w:tblPr>
      <w:tblGrid>
        <w:gridCol w:w="775"/>
        <w:gridCol w:w="4453"/>
        <w:gridCol w:w="672"/>
        <w:gridCol w:w="4480"/>
      </w:tblGrid>
      <w:tr w:rsidR="009E4754" w:rsidRPr="00AB5207" w:rsidTr="005E118C">
        <w:trPr>
          <w:jc w:val="center"/>
        </w:trPr>
        <w:tc>
          <w:tcPr>
            <w:tcW w:w="775" w:type="dxa"/>
            <w:hideMark/>
          </w:tcPr>
          <w:p w:rsidR="009E4754" w:rsidRPr="00AB5207" w:rsidRDefault="009E4754" w:rsidP="005E118C">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9E4754" w:rsidRPr="006457F4" w:rsidRDefault="009E4754" w:rsidP="005E118C">
            <w:pPr>
              <w:pStyle w:val="a4"/>
              <w:spacing w:before="0" w:beforeAutospacing="0" w:after="0" w:afterAutospacing="0"/>
              <w:contextualSpacing/>
              <w:rPr>
                <w:rFonts w:ascii="Segoe UI" w:hAnsi="Segoe UI" w:cs="Segoe UI"/>
                <w:color w:val="0000FF"/>
                <w:szCs w:val="28"/>
                <w:u w:val="single"/>
              </w:rPr>
            </w:pPr>
            <w:hyperlink r:id="rId8" w:history="1">
              <w:r w:rsidRPr="006457F4">
                <w:rPr>
                  <w:rStyle w:val="a3"/>
                  <w:rFonts w:ascii="Segoe UI" w:hAnsi="Segoe UI" w:cs="Segoe UI"/>
                  <w:szCs w:val="28"/>
                </w:rPr>
                <w:t>press23@23.kadastr.ru</w:t>
              </w:r>
            </w:hyperlink>
          </w:p>
        </w:tc>
        <w:tc>
          <w:tcPr>
            <w:tcW w:w="672" w:type="dxa"/>
            <w:hideMark/>
          </w:tcPr>
          <w:p w:rsidR="009E4754" w:rsidRPr="00AB5207" w:rsidRDefault="009E4754" w:rsidP="005E118C">
            <w:pPr>
              <w:spacing w:after="0"/>
              <w:contextualSpacing/>
              <w:rPr>
                <w:rStyle w:val="a3"/>
                <w:rFonts w:ascii="Segoe UI" w:hAnsi="Segoe UI" w:cs="Segoe UI"/>
                <w:noProof/>
              </w:rPr>
            </w:pPr>
            <w:r>
              <w:rPr>
                <w:rFonts w:ascii="Segoe UI" w:hAnsi="Segoe UI" w:cs="Segoe UI"/>
                <w:noProof/>
                <w:color w:val="0000FF"/>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9E4754" w:rsidRPr="00AB5207" w:rsidRDefault="009E4754" w:rsidP="005E118C">
            <w:pPr>
              <w:spacing w:after="0"/>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9E4754" w:rsidRPr="00AB5207" w:rsidTr="005E118C">
        <w:trPr>
          <w:jc w:val="center"/>
        </w:trPr>
        <w:tc>
          <w:tcPr>
            <w:tcW w:w="775" w:type="dxa"/>
            <w:hideMark/>
          </w:tcPr>
          <w:p w:rsidR="009E4754" w:rsidRPr="00AB5207" w:rsidRDefault="009E4754" w:rsidP="005E118C">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3"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9E4754" w:rsidRPr="00AB5207" w:rsidRDefault="009E4754" w:rsidP="005E118C">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9E4754" w:rsidRPr="00AB5207" w:rsidRDefault="009E4754" w:rsidP="005E118C">
            <w:pPr>
              <w:spacing w:after="0"/>
              <w:contextualSpacing/>
              <w:rPr>
                <w:rStyle w:val="a3"/>
                <w:rFonts w:ascii="Segoe UI" w:hAnsi="Segoe UI" w:cs="Segoe UI"/>
                <w:noProof/>
              </w:rPr>
            </w:pPr>
            <w:r>
              <w:rPr>
                <w:rFonts w:ascii="Segoe UI" w:hAnsi="Segoe UI" w:cs="Segoe UI"/>
                <w:noProof/>
                <w:color w:val="0000FF"/>
              </w:rPr>
              <w:drawing>
                <wp:inline distT="0" distB="0" distL="0" distR="0">
                  <wp:extent cx="361950" cy="361950"/>
                  <wp:effectExtent l="19050" t="0" r="0" b="0"/>
                  <wp:docPr id="4"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9E4754" w:rsidRPr="00AB5207" w:rsidRDefault="009E4754" w:rsidP="005E118C">
            <w:pPr>
              <w:spacing w:after="0"/>
              <w:contextualSpacing/>
              <w:jc w:val="both"/>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443356" w:rsidRDefault="00443356"/>
    <w:sectPr w:rsidR="00443356" w:rsidSect="00B3076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30761"/>
    <w:rsid w:val="00443356"/>
    <w:rsid w:val="009E4754"/>
    <w:rsid w:val="00B3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07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761"/>
    <w:rPr>
      <w:rFonts w:ascii="Times New Roman" w:eastAsia="Times New Roman" w:hAnsi="Times New Roman" w:cs="Times New Roman"/>
      <w:b/>
      <w:bCs/>
      <w:kern w:val="36"/>
      <w:sz w:val="48"/>
      <w:szCs w:val="48"/>
    </w:rPr>
  </w:style>
  <w:style w:type="character" w:styleId="a3">
    <w:name w:val="Hyperlink"/>
    <w:basedOn w:val="a0"/>
    <w:uiPriority w:val="99"/>
    <w:unhideWhenUsed/>
    <w:rsid w:val="00B30761"/>
    <w:rPr>
      <w:color w:val="0000FF"/>
      <w:u w:val="single"/>
    </w:rPr>
  </w:style>
  <w:style w:type="paragraph" w:styleId="a4">
    <w:name w:val="Normal (Web)"/>
    <w:basedOn w:val="a"/>
    <w:uiPriority w:val="99"/>
    <w:unhideWhenUsed/>
    <w:rsid w:val="00B3076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30761"/>
    <w:rPr>
      <w:b/>
      <w:bCs/>
    </w:rPr>
  </w:style>
  <w:style w:type="paragraph" w:styleId="a6">
    <w:name w:val="Balloon Text"/>
    <w:basedOn w:val="a"/>
    <w:link w:val="a7"/>
    <w:uiPriority w:val="99"/>
    <w:semiHidden/>
    <w:unhideWhenUsed/>
    <w:rsid w:val="009E47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47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890010">
      <w:bodyDiv w:val="1"/>
      <w:marLeft w:val="0"/>
      <w:marRight w:val="0"/>
      <w:marTop w:val="0"/>
      <w:marBottom w:val="0"/>
      <w:divBdr>
        <w:top w:val="none" w:sz="0" w:space="0" w:color="auto"/>
        <w:left w:val="none" w:sz="0" w:space="0" w:color="auto"/>
        <w:bottom w:val="none" w:sz="0" w:space="0" w:color="auto"/>
        <w:right w:val="none" w:sz="0" w:space="0" w:color="auto"/>
      </w:divBdr>
      <w:divsChild>
        <w:div w:id="988678394">
          <w:marLeft w:val="-120"/>
          <w:marRight w:val="-120"/>
          <w:marTop w:val="0"/>
          <w:marBottom w:val="0"/>
          <w:divBdr>
            <w:top w:val="none" w:sz="0" w:space="0" w:color="auto"/>
            <w:left w:val="none" w:sz="0" w:space="0" w:color="auto"/>
            <w:bottom w:val="none" w:sz="0" w:space="0" w:color="auto"/>
            <w:right w:val="none" w:sz="0" w:space="0" w:color="auto"/>
          </w:divBdr>
          <w:divsChild>
            <w:div w:id="810096399">
              <w:marLeft w:val="2040"/>
              <w:marRight w:val="0"/>
              <w:marTop w:val="0"/>
              <w:marBottom w:val="0"/>
              <w:divBdr>
                <w:top w:val="none" w:sz="0" w:space="0" w:color="auto"/>
                <w:left w:val="none" w:sz="0" w:space="0" w:color="auto"/>
                <w:bottom w:val="none" w:sz="0" w:space="0" w:color="auto"/>
                <w:right w:val="none" w:sz="0" w:space="0" w:color="auto"/>
              </w:divBdr>
            </w:div>
          </w:divsChild>
        </w:div>
        <w:div w:id="479612577">
          <w:marLeft w:val="-120"/>
          <w:marRight w:val="-120"/>
          <w:marTop w:val="0"/>
          <w:marBottom w:val="0"/>
          <w:divBdr>
            <w:top w:val="none" w:sz="0" w:space="0" w:color="auto"/>
            <w:left w:val="none" w:sz="0" w:space="0" w:color="auto"/>
            <w:bottom w:val="none" w:sz="0" w:space="0" w:color="auto"/>
            <w:right w:val="none" w:sz="0" w:space="0" w:color="auto"/>
          </w:divBdr>
          <w:divsChild>
            <w:div w:id="482239676">
              <w:marLeft w:val="0"/>
              <w:marRight w:val="0"/>
              <w:marTop w:val="0"/>
              <w:marBottom w:val="0"/>
              <w:divBdr>
                <w:top w:val="none" w:sz="0" w:space="0" w:color="auto"/>
                <w:left w:val="none" w:sz="0" w:space="0" w:color="auto"/>
                <w:bottom w:val="none" w:sz="0" w:space="0" w:color="auto"/>
                <w:right w:val="none" w:sz="0" w:space="0" w:color="auto"/>
              </w:divBdr>
              <w:divsChild>
                <w:div w:id="1805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23@23.kadastr.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hyperlink" Target="https://kadastr.ru/services/zakaz-vypisok-iz-egrn/"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user2142</dc:creator>
  <cp:keywords/>
  <dc:description/>
  <cp:lastModifiedBy>user2142</cp:lastModifiedBy>
  <cp:revision>3</cp:revision>
  <dcterms:created xsi:type="dcterms:W3CDTF">2021-03-18T09:20:00Z</dcterms:created>
  <dcterms:modified xsi:type="dcterms:W3CDTF">2021-03-18T09:28:00Z</dcterms:modified>
</cp:coreProperties>
</file>