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C2" w:rsidRDefault="006B2DC2" w:rsidP="006B2DC2">
      <w:pPr>
        <w:jc w:val="center"/>
      </w:pPr>
      <w:r>
        <w:rPr>
          <w:noProof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C2" w:rsidRDefault="006B2DC2" w:rsidP="006B2DC2">
      <w:pPr>
        <w:tabs>
          <w:tab w:val="left" w:pos="3555"/>
        </w:tabs>
        <w:jc w:val="center"/>
      </w:pPr>
    </w:p>
    <w:p w:rsidR="006B2DC2" w:rsidRDefault="006B2DC2" w:rsidP="006B2DC2">
      <w:pPr>
        <w:jc w:val="center"/>
        <w:rPr>
          <w:b/>
          <w:szCs w:val="28"/>
        </w:rPr>
      </w:pPr>
      <w:r>
        <w:rPr>
          <w:b/>
          <w:szCs w:val="28"/>
        </w:rPr>
        <w:t>АДМИНИСТРАЦИЯ ТЕМРЮКСКОГО ГОРОДСКОГО ПОСЕЛЕНИЯ</w:t>
      </w:r>
    </w:p>
    <w:p w:rsidR="006B2DC2" w:rsidRDefault="006B2DC2" w:rsidP="006B2DC2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6B2DC2" w:rsidRDefault="006B2DC2" w:rsidP="006B2DC2">
      <w:pPr>
        <w:jc w:val="center"/>
        <w:rPr>
          <w:b/>
          <w:szCs w:val="28"/>
        </w:rPr>
      </w:pPr>
    </w:p>
    <w:p w:rsidR="006B2DC2" w:rsidRDefault="006B2DC2" w:rsidP="006B2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6B2DC2" w:rsidRDefault="006B2DC2" w:rsidP="006B2DC2">
      <w:pPr>
        <w:jc w:val="center"/>
        <w:rPr>
          <w:b/>
          <w:szCs w:val="28"/>
        </w:rPr>
      </w:pPr>
    </w:p>
    <w:p w:rsidR="006B2DC2" w:rsidRDefault="006B2DC2" w:rsidP="006B2DC2">
      <w:pPr>
        <w:jc w:val="both"/>
        <w:rPr>
          <w:szCs w:val="28"/>
        </w:rPr>
      </w:pPr>
      <w:r>
        <w:rPr>
          <w:szCs w:val="28"/>
        </w:rPr>
        <w:t xml:space="preserve"> от 21.11.2016                                                                                          № 1482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6B2DC2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E01B98">
        <w:rPr>
          <w:rFonts w:cs="Times New Roman"/>
          <w:b w:val="0"/>
          <w:bCs w:val="0"/>
          <w:spacing w:val="-1"/>
          <w:lang w:val="ru-RU"/>
        </w:rPr>
        <w:t>мрюкского района от 26</w:t>
      </w:r>
      <w:r w:rsidR="00226E0A"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C1D40">
        <w:rPr>
          <w:rFonts w:cs="Times New Roman"/>
          <w:b w:val="0"/>
          <w:bCs w:val="0"/>
          <w:spacing w:val="-1"/>
          <w:lang w:val="ru-RU"/>
        </w:rPr>
        <w:t>октября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E01B98">
        <w:rPr>
          <w:rFonts w:cs="Times New Roman"/>
          <w:b w:val="0"/>
          <w:bCs w:val="0"/>
          <w:spacing w:val="-1"/>
          <w:lang w:val="ru-RU"/>
        </w:rPr>
        <w:t>1335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внесении изменений в постановление администрации Темрюкского городского поселения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4A5A4A" w:rsidRPr="004A5A4A">
        <w:rPr>
          <w:szCs w:val="28"/>
        </w:rPr>
        <w:t>Специалисту I категории (по организационным вопросам и взаимоде</w:t>
      </w:r>
      <w:r w:rsidR="004A5A4A" w:rsidRPr="004A5A4A">
        <w:rPr>
          <w:szCs w:val="28"/>
        </w:rPr>
        <w:t>й</w:t>
      </w:r>
      <w:r w:rsidR="004A5A4A" w:rsidRPr="004A5A4A">
        <w:rPr>
          <w:szCs w:val="28"/>
        </w:rPr>
        <w:t>ствию со средствами массовой информации (СМИ)) Е.С.Игнатенко разместить настоящее постановление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</w:p>
    <w:p w:rsidR="00BE077B" w:rsidRDefault="00F47DB5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4</w:t>
      </w:r>
      <w:r w:rsidR="00503848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со дня его официального обнародования и распространяет свое действие </w:t>
      </w:r>
      <w:r w:rsidR="00F11F4F">
        <w:rPr>
          <w:szCs w:val="28"/>
        </w:rPr>
        <w:t xml:space="preserve">на правоотношения, возникшие с </w:t>
      </w:r>
      <w:r w:rsidR="002B7CE0">
        <w:rPr>
          <w:szCs w:val="28"/>
        </w:rPr>
        <w:t>2</w:t>
      </w:r>
      <w:r w:rsidR="00C06950">
        <w:rPr>
          <w:szCs w:val="28"/>
        </w:rPr>
        <w:t>1</w:t>
      </w:r>
      <w:r>
        <w:rPr>
          <w:szCs w:val="28"/>
        </w:rPr>
        <w:t xml:space="preserve"> </w:t>
      </w:r>
      <w:r w:rsidR="00C06950">
        <w:rPr>
          <w:szCs w:val="28"/>
        </w:rPr>
        <w:t>но</w:t>
      </w:r>
      <w:r w:rsidR="00066A90">
        <w:rPr>
          <w:szCs w:val="28"/>
        </w:rPr>
        <w:t>я</w:t>
      </w:r>
      <w:r w:rsidR="002B7CE0">
        <w:rPr>
          <w:szCs w:val="28"/>
        </w:rPr>
        <w:t>бря</w:t>
      </w:r>
      <w:r>
        <w:rPr>
          <w:szCs w:val="28"/>
        </w:rPr>
        <w:t xml:space="preserve"> 2016 года. </w:t>
      </w:r>
    </w:p>
    <w:p w:rsidR="00C06950" w:rsidRDefault="00C06950" w:rsidP="0060665F">
      <w:pPr>
        <w:tabs>
          <w:tab w:val="left" w:pos="567"/>
        </w:tabs>
        <w:ind w:right="-1" w:firstLine="567"/>
        <w:jc w:val="both"/>
        <w:rPr>
          <w:szCs w:val="28"/>
        </w:rPr>
      </w:pPr>
    </w:p>
    <w:p w:rsidR="00C06950" w:rsidRDefault="00C06950" w:rsidP="0060665F">
      <w:pPr>
        <w:tabs>
          <w:tab w:val="left" w:pos="567"/>
        </w:tabs>
        <w:ind w:right="-1" w:firstLine="567"/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C06950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BE11E6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r w:rsidR="00C06950">
        <w:rPr>
          <w:szCs w:val="28"/>
        </w:rPr>
        <w:t>А.Д.Войтов</w:t>
      </w:r>
      <w:r w:rsidR="00E56F39">
        <w:rPr>
          <w:b/>
          <w:spacing w:val="-1"/>
        </w:rPr>
        <w:t xml:space="preserve">  </w:t>
      </w:r>
    </w:p>
    <w:p w:rsidR="00BE11E6" w:rsidRDefault="00BE11E6" w:rsidP="00E56F39">
      <w:pPr>
        <w:jc w:val="both"/>
        <w:rPr>
          <w:b/>
          <w:spacing w:val="-1"/>
        </w:rPr>
      </w:pPr>
    </w:p>
    <w:p w:rsidR="00C331D5" w:rsidRPr="00E56F39" w:rsidRDefault="00C331D5" w:rsidP="00E56F39">
      <w:pPr>
        <w:jc w:val="both"/>
        <w:rPr>
          <w:szCs w:val="28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</w:t>
      </w:r>
      <w:r w:rsidR="006B2DC2">
        <w:rPr>
          <w:bCs/>
          <w:spacing w:val="-1"/>
          <w:szCs w:val="28"/>
          <w:lang w:eastAsia="en-US"/>
        </w:rPr>
        <w:t xml:space="preserve">                     от 21.11.2016 № 1482</w:t>
      </w:r>
      <w:r w:rsidRPr="00655C78">
        <w:rPr>
          <w:bCs/>
          <w:spacing w:val="-1"/>
          <w:szCs w:val="28"/>
          <w:lang w:eastAsia="en-US"/>
        </w:rPr>
        <w:t xml:space="preserve">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(в редакции постановления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</w:t>
      </w:r>
      <w:r w:rsidR="006B2DC2">
        <w:rPr>
          <w:bCs/>
          <w:spacing w:val="-1"/>
          <w:szCs w:val="28"/>
          <w:lang w:eastAsia="en-US"/>
        </w:rPr>
        <w:t xml:space="preserve">           от 21.11.2016 № 1482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/>
      </w:tblPr>
      <w:tblGrid>
        <w:gridCol w:w="3187"/>
        <w:gridCol w:w="6310"/>
      </w:tblGrid>
      <w:tr w:rsidR="00655C78" w:rsidRPr="00655C78" w:rsidTr="00E01B98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Координатор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 xml:space="preserve">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E01B98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E01B98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655C78">
              <w:rPr>
                <w:szCs w:val="28"/>
                <w:lang w:val="ru-RU" w:eastAsia="en-US"/>
              </w:rPr>
              <w:t>м</w:t>
            </w:r>
            <w:r w:rsidRPr="00655C78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655C78" w:rsidRPr="00655C78" w:rsidTr="00E01B98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 xml:space="preserve">Задачи муниципальной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655C78" w:rsidRPr="00655C78" w:rsidTr="00E01B98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годы.</w:t>
            </w:r>
          </w:p>
        </w:tc>
      </w:tr>
      <w:tr w:rsidR="00655C78" w:rsidRPr="00655C78" w:rsidTr="00E01B98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</w:t>
            </w:r>
            <w:r w:rsidR="004A5A4A">
              <w:rPr>
                <w:color w:val="000000"/>
                <w:szCs w:val="28"/>
                <w:lang w:val="ru-RU" w:eastAsia="en-US"/>
              </w:rPr>
              <w:t>859,0</w:t>
            </w:r>
            <w:r w:rsidRPr="00655C78">
              <w:rPr>
                <w:color w:val="000000"/>
                <w:szCs w:val="28"/>
                <w:lang w:val="ru-RU" w:eastAsia="en-US"/>
              </w:rPr>
              <w:t xml:space="preserve">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E01B98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pacing w:val="-1"/>
                <w:szCs w:val="28"/>
                <w:lang w:val="ru-RU" w:eastAsia="en-US"/>
              </w:rPr>
              <w:t>Контроль за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Контроль за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Те</w:t>
      </w:r>
      <w:r w:rsidRPr="00655C78">
        <w:rPr>
          <w:bCs/>
          <w:szCs w:val="28"/>
          <w:lang w:eastAsia="en-US"/>
        </w:rPr>
        <w:t>м</w:t>
      </w:r>
      <w:r w:rsidRPr="00655C78">
        <w:rPr>
          <w:bCs/>
          <w:szCs w:val="28"/>
          <w:lang w:eastAsia="en-US"/>
        </w:rPr>
        <w:t>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E01B98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Наименование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Исполнители мероприятий</w:t>
            </w:r>
          </w:p>
        </w:tc>
      </w:tr>
      <w:tr w:rsidR="00655C78" w:rsidRPr="00655C78" w:rsidTr="00E01B98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год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E01B98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в том числе;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4A5A4A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val="ru-RU"/>
              </w:rPr>
              <w:t>859,0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392FB2" w:rsidP="004A5A4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7</w:t>
            </w:r>
            <w:r w:rsidR="004A5A4A">
              <w:rPr>
                <w:color w:val="000000"/>
                <w:sz w:val="24"/>
                <w:lang w:val="ru-RU"/>
              </w:rPr>
              <w:t>53</w:t>
            </w:r>
            <w:r w:rsidR="00655C78" w:rsidRPr="00655C78">
              <w:rPr>
                <w:color w:val="000000"/>
                <w:sz w:val="24"/>
              </w:rPr>
              <w:t xml:space="preserve">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sz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Приобретение печатей и штампов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1926A2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  <w:r w:rsidR="00655C78" w:rsidRPr="00655C78">
              <w:rPr>
                <w:bCs/>
                <w:sz w:val="24"/>
                <w:lang w:eastAsia="en-US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несоответс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392FB2" w:rsidRDefault="00392FB2" w:rsidP="00786FF7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285,8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 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поселе-ния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рю-кского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="00226E0A">
              <w:rPr>
                <w:bCs/>
                <w:sz w:val="24"/>
                <w:lang w:val="ru-RU" w:eastAsia="en-US"/>
              </w:rPr>
              <w:t>ю</w:t>
            </w:r>
            <w:r w:rsidR="00226E0A">
              <w:rPr>
                <w:bCs/>
                <w:sz w:val="24"/>
                <w:lang w:val="ru-RU" w:eastAsia="en-US"/>
              </w:rPr>
              <w:t>те</w:t>
            </w:r>
            <w:r w:rsidRPr="00655C78">
              <w:rPr>
                <w:bCs/>
                <w:sz w:val="24"/>
                <w:lang w:val="ru-RU" w:eastAsia="en-US"/>
              </w:rPr>
              <w:t>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4A5A4A" w:rsidP="00392FB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 </w:t>
            </w:r>
            <w:r w:rsidR="00392FB2">
              <w:rPr>
                <w:bCs/>
                <w:sz w:val="24"/>
                <w:lang w:val="ru-RU" w:eastAsia="en-US"/>
              </w:rPr>
              <w:t>54</w:t>
            </w:r>
            <w:r w:rsidR="00F47DB5">
              <w:rPr>
                <w:bCs/>
                <w:sz w:val="24"/>
                <w:lang w:val="ru-RU" w:eastAsia="en-US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392FB2" w:rsidRDefault="00392FB2" w:rsidP="00392FB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</w:t>
            </w:r>
            <w:r>
              <w:rPr>
                <w:bCs/>
                <w:sz w:val="24"/>
                <w:lang w:val="ru-RU"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рюк-ского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Приобретение и модернизация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392FB2" w:rsidP="00392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78,7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поселе-ия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76772C" w:rsidRDefault="008C4F70" w:rsidP="00392FB2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  <w:r w:rsidR="00392FB2">
              <w:rPr>
                <w:bCs/>
                <w:sz w:val="24"/>
                <w:lang w:val="ru-RU" w:eastAsia="en-US"/>
              </w:rPr>
              <w:t>4</w:t>
            </w:r>
            <w:r w:rsidR="0076772C">
              <w:rPr>
                <w:bCs/>
                <w:sz w:val="24"/>
                <w:lang w:val="ru-RU" w:eastAsia="en-US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392FB2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val="ru-RU" w:eastAsia="en-US"/>
              </w:rPr>
              <w:t>13,4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го-родского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 xml:space="preserve">ния Тем-рюкского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ние услуг 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Утилизация 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техничес-кое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  <w:tr w:rsidR="00655C78" w:rsidRPr="00655C78" w:rsidTr="00E01B9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Изготовление информационного стенда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</w:t>
            </w:r>
            <w:r w:rsidRPr="00655C78">
              <w:rPr>
                <w:bCs/>
                <w:sz w:val="24"/>
                <w:lang w:val="ru-RU" w:eastAsia="en-US"/>
              </w:rPr>
              <w:t>м</w:t>
            </w:r>
            <w:r w:rsidRPr="00655C78">
              <w:rPr>
                <w:bCs/>
                <w:sz w:val="24"/>
                <w:lang w:val="ru-RU" w:eastAsia="en-US"/>
              </w:rPr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lastRenderedPageBreak/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Тем</w:t>
      </w:r>
      <w:bookmarkStart w:id="0" w:name="_GoBack"/>
      <w:bookmarkEnd w:id="0"/>
      <w:r>
        <w:rPr>
          <w:spacing w:val="-2"/>
          <w:szCs w:val="28"/>
        </w:rPr>
        <w:t xml:space="preserve">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F47DB5"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805" w:rsidRDefault="00962805" w:rsidP="00E56F39">
      <w:r>
        <w:separator/>
      </w:r>
    </w:p>
  </w:endnote>
  <w:endnote w:type="continuationSeparator" w:id="0">
    <w:p w:rsidR="00962805" w:rsidRDefault="00962805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805" w:rsidRDefault="00962805" w:rsidP="00E56F39">
      <w:r>
        <w:separator/>
      </w:r>
    </w:p>
  </w:footnote>
  <w:footnote w:type="continuationSeparator" w:id="0">
    <w:p w:rsidR="00962805" w:rsidRDefault="00962805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98" w:rsidRDefault="00E01B98">
    <w:pPr>
      <w:pStyle w:val="aa"/>
      <w:jc w:val="center"/>
    </w:pPr>
  </w:p>
  <w:p w:rsidR="00E01B98" w:rsidRDefault="00E01B98" w:rsidP="00F47DB5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A90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0670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26A2"/>
    <w:rsid w:val="001931AD"/>
    <w:rsid w:val="001934C3"/>
    <w:rsid w:val="0019373E"/>
    <w:rsid w:val="00193F08"/>
    <w:rsid w:val="001943C0"/>
    <w:rsid w:val="00195D7C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6E0A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B7CE0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413D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2FB2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5A4A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58F"/>
    <w:rsid w:val="006B2DC2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D40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6772C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6FF7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7773"/>
    <w:rsid w:val="00807C80"/>
    <w:rsid w:val="0081003D"/>
    <w:rsid w:val="0081210B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4F70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805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5281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690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950"/>
    <w:rsid w:val="00C06FC7"/>
    <w:rsid w:val="00C07654"/>
    <w:rsid w:val="00C07B03"/>
    <w:rsid w:val="00C07C02"/>
    <w:rsid w:val="00C10DBE"/>
    <w:rsid w:val="00C1145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2851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B98"/>
    <w:rsid w:val="00E01D60"/>
    <w:rsid w:val="00E01F3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4AE7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A02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1F4F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0FF9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47DB5"/>
    <w:rsid w:val="00F51F0F"/>
    <w:rsid w:val="00F5284A"/>
    <w:rsid w:val="00F553BB"/>
    <w:rsid w:val="00F553DF"/>
    <w:rsid w:val="00F563DD"/>
    <w:rsid w:val="00F56F7B"/>
    <w:rsid w:val="00F5764F"/>
    <w:rsid w:val="00F57BE4"/>
    <w:rsid w:val="00F57DF1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26D2-6DDE-4C2C-9655-C9A4C984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cp:lastPrinted>2016-11-21T06:42:00Z</cp:lastPrinted>
  <dcterms:created xsi:type="dcterms:W3CDTF">2015-06-17T11:31:00Z</dcterms:created>
  <dcterms:modified xsi:type="dcterms:W3CDTF">2016-11-22T07:14:00Z</dcterms:modified>
</cp:coreProperties>
</file>